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775" w:rsidRDefault="00841775" w:rsidP="00F37AFD">
      <w:pPr>
        <w:rPr>
          <w:rFonts w:ascii="Times New Roman" w:hAnsi="Times New Roman" w:cs="Times New Roman"/>
          <w:b/>
          <w:bCs/>
          <w:sz w:val="40"/>
          <w:szCs w:val="40"/>
        </w:rPr>
      </w:pPr>
    </w:p>
    <w:p w:rsidR="00377C76" w:rsidRDefault="00377C76" w:rsidP="00F37AFD">
      <w:pPr>
        <w:rPr>
          <w:rFonts w:ascii="Times New Roman" w:hAnsi="Times New Roman" w:cs="Times New Roman"/>
          <w:b/>
          <w:bCs/>
          <w:sz w:val="40"/>
          <w:szCs w:val="40"/>
        </w:rPr>
      </w:pPr>
    </w:p>
    <w:p w:rsidR="00377C76" w:rsidRDefault="00377C76" w:rsidP="00F37AFD">
      <w:pPr>
        <w:rPr>
          <w:rFonts w:ascii="Times New Roman" w:hAnsi="Times New Roman" w:cs="Times New Roman"/>
          <w:b/>
          <w:bCs/>
          <w:sz w:val="40"/>
          <w:szCs w:val="40"/>
        </w:rPr>
      </w:pPr>
    </w:p>
    <w:p w:rsidR="00314B76" w:rsidRDefault="00314B76" w:rsidP="00F37AFD">
      <w:pPr>
        <w:rPr>
          <w:rFonts w:ascii="Times New Roman" w:hAnsi="Times New Roman" w:cs="Times New Roman"/>
          <w:b/>
          <w:bCs/>
          <w:sz w:val="40"/>
          <w:szCs w:val="40"/>
        </w:rPr>
      </w:pPr>
    </w:p>
    <w:p w:rsidR="00314B76" w:rsidRDefault="00314B76"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Pr="0026192F" w:rsidRDefault="0026192F" w:rsidP="00F37AFD">
      <w:pPr>
        <w:rPr>
          <w:rFonts w:ascii="Times New Roman" w:hAnsi="Times New Roman" w:cs="Times New Roman"/>
          <w:b/>
          <w:bCs/>
          <w:sz w:val="56"/>
          <w:szCs w:val="56"/>
        </w:rPr>
      </w:pPr>
      <w:r>
        <w:rPr>
          <w:rFonts w:ascii="Times New Roman" w:hAnsi="Times New Roman" w:cs="Times New Roman"/>
          <w:b/>
          <w:bCs/>
          <w:sz w:val="56"/>
          <w:szCs w:val="56"/>
        </w:rPr>
        <w:t>BRIEFING</w:t>
      </w:r>
      <w:r w:rsidR="00300F5C" w:rsidRPr="0026192F">
        <w:rPr>
          <w:rFonts w:ascii="Times New Roman" w:hAnsi="Times New Roman" w:cs="Times New Roman"/>
          <w:b/>
          <w:bCs/>
          <w:sz w:val="56"/>
          <w:szCs w:val="56"/>
        </w:rPr>
        <w:t xml:space="preserve"> </w:t>
      </w:r>
    </w:p>
    <w:p w:rsidR="00712571" w:rsidRDefault="00712571" w:rsidP="00F37AFD">
      <w:pPr>
        <w:rPr>
          <w:rFonts w:ascii="Times New Roman" w:hAnsi="Times New Roman" w:cs="Times New Roman"/>
          <w:b/>
          <w:bCs/>
          <w:sz w:val="40"/>
          <w:szCs w:val="40"/>
        </w:rPr>
      </w:pPr>
    </w:p>
    <w:p w:rsidR="006D41EE" w:rsidRDefault="006D41EE" w:rsidP="0091274C">
      <w:pPr>
        <w:rPr>
          <w:rFonts w:ascii="Times New Roman" w:hAnsi="Times New Roman" w:cs="Times New Roman"/>
          <w:b/>
          <w:bCs/>
          <w:sz w:val="60"/>
          <w:szCs w:val="60"/>
        </w:rPr>
      </w:pPr>
      <w:r>
        <w:rPr>
          <w:rFonts w:ascii="Times New Roman" w:hAnsi="Times New Roman" w:cs="Times New Roman"/>
          <w:b/>
          <w:bCs/>
          <w:sz w:val="60"/>
          <w:szCs w:val="60"/>
        </w:rPr>
        <w:t>Benefit</w:t>
      </w:r>
      <w:r w:rsidRPr="006D41EE">
        <w:rPr>
          <w:rFonts w:ascii="Times New Roman" w:hAnsi="Times New Roman" w:cs="Times New Roman"/>
          <w:b/>
          <w:bCs/>
          <w:sz w:val="60"/>
          <w:szCs w:val="60"/>
        </w:rPr>
        <w:t xml:space="preserve"> Sanctions Statistics</w:t>
      </w:r>
    </w:p>
    <w:p w:rsidR="006D41EE" w:rsidRDefault="006D41EE" w:rsidP="00F37AFD">
      <w:pPr>
        <w:rPr>
          <w:rFonts w:ascii="Times New Roman" w:hAnsi="Times New Roman" w:cs="Times New Roman"/>
          <w:b/>
          <w:bCs/>
          <w:sz w:val="60"/>
          <w:szCs w:val="60"/>
        </w:rPr>
      </w:pPr>
    </w:p>
    <w:p w:rsidR="0023175D" w:rsidRDefault="0023175D" w:rsidP="00F37AFD">
      <w:pPr>
        <w:rPr>
          <w:rFonts w:ascii="Times New Roman" w:hAnsi="Times New Roman" w:cs="Times New Roman"/>
          <w:b/>
          <w:bCs/>
          <w:sz w:val="60"/>
          <w:szCs w:val="60"/>
        </w:rPr>
      </w:pPr>
    </w:p>
    <w:p w:rsidR="00B67ADD" w:rsidRDefault="00946276" w:rsidP="00F37AFD">
      <w:pPr>
        <w:rPr>
          <w:rFonts w:ascii="Times New Roman" w:hAnsi="Times New Roman" w:cs="Times New Roman"/>
          <w:b/>
          <w:bCs/>
          <w:sz w:val="36"/>
          <w:szCs w:val="36"/>
        </w:rPr>
      </w:pPr>
      <w:r>
        <w:rPr>
          <w:rFonts w:ascii="Times New Roman" w:hAnsi="Times New Roman" w:cs="Times New Roman"/>
          <w:b/>
          <w:bCs/>
          <w:sz w:val="60"/>
          <w:szCs w:val="60"/>
        </w:rPr>
        <w:t>February 2024</w:t>
      </w:r>
    </w:p>
    <w:p w:rsidR="00631D4C" w:rsidRPr="0077461B" w:rsidRDefault="00631D4C" w:rsidP="00F37AFD">
      <w:pPr>
        <w:rPr>
          <w:rFonts w:ascii="Times New Roman" w:hAnsi="Times New Roman" w:cs="Times New Roman"/>
          <w:b/>
          <w:bCs/>
          <w:sz w:val="36"/>
          <w:szCs w:val="36"/>
        </w:rPr>
      </w:pPr>
    </w:p>
    <w:p w:rsidR="00631D4C" w:rsidRPr="0077461B" w:rsidRDefault="00631D4C" w:rsidP="00F37AFD">
      <w:pPr>
        <w:rPr>
          <w:rFonts w:ascii="Times New Roman" w:hAnsi="Times New Roman" w:cs="Times New Roman"/>
          <w:b/>
          <w:bCs/>
          <w:sz w:val="36"/>
          <w:szCs w:val="36"/>
        </w:rPr>
      </w:pPr>
    </w:p>
    <w:p w:rsidR="0000778F" w:rsidRPr="0077461B" w:rsidRDefault="0000778F" w:rsidP="00F37AFD">
      <w:pPr>
        <w:rPr>
          <w:rFonts w:ascii="Times New Roman" w:hAnsi="Times New Roman" w:cs="Times New Roman"/>
          <w:b/>
          <w:bCs/>
          <w:sz w:val="36"/>
          <w:szCs w:val="36"/>
        </w:rPr>
      </w:pPr>
    </w:p>
    <w:p w:rsidR="00097AB0" w:rsidRPr="0077461B" w:rsidRDefault="00097AB0" w:rsidP="00F37AFD">
      <w:pPr>
        <w:rPr>
          <w:rFonts w:ascii="Times New Roman" w:hAnsi="Times New Roman" w:cs="Times New Roman"/>
          <w:b/>
          <w:bCs/>
          <w:sz w:val="36"/>
          <w:szCs w:val="36"/>
        </w:rPr>
      </w:pPr>
    </w:p>
    <w:p w:rsidR="0000778F" w:rsidRPr="009A3117" w:rsidRDefault="0000778F" w:rsidP="00F37AFD">
      <w:pPr>
        <w:rPr>
          <w:rFonts w:ascii="Times New Roman" w:hAnsi="Times New Roman" w:cs="Times New Roman"/>
          <w:b/>
          <w:bCs/>
          <w:sz w:val="36"/>
          <w:szCs w:val="36"/>
        </w:rPr>
      </w:pPr>
    </w:p>
    <w:p w:rsidR="00631D4C" w:rsidRPr="002B0847" w:rsidRDefault="00BA3BB7" w:rsidP="00631D4C">
      <w:pPr>
        <w:rPr>
          <w:rFonts w:ascii="Times New Roman" w:hAnsi="Times New Roman" w:cs="Times New Roman"/>
          <w:sz w:val="24"/>
          <w:szCs w:val="24"/>
        </w:rPr>
      </w:pPr>
      <w:r>
        <w:rPr>
          <w:rFonts w:ascii="Times New Roman" w:hAnsi="Times New Roman" w:cs="Times New Roman"/>
          <w:sz w:val="24"/>
          <w:szCs w:val="24"/>
        </w:rPr>
        <w:t>22</w:t>
      </w:r>
      <w:r w:rsidR="00715171">
        <w:rPr>
          <w:rFonts w:ascii="Times New Roman" w:hAnsi="Times New Roman" w:cs="Times New Roman"/>
          <w:sz w:val="24"/>
          <w:szCs w:val="24"/>
        </w:rPr>
        <w:t xml:space="preserve"> February 2024</w:t>
      </w: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Pr="009A3117"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Pr="00254027" w:rsidRDefault="00631D4C" w:rsidP="00631D4C">
      <w:pPr>
        <w:rPr>
          <w:lang w:val="fr-FR"/>
        </w:rPr>
      </w:pPr>
      <w:r w:rsidRPr="00254027">
        <w:rPr>
          <w:rFonts w:ascii="Times New Roman" w:hAnsi="Times New Roman" w:cs="Times New Roman"/>
          <w:sz w:val="24"/>
          <w:szCs w:val="24"/>
          <w:lang w:val="fr-FR"/>
        </w:rPr>
        <w:t xml:space="preserve">Webpages: </w:t>
      </w:r>
      <w:hyperlink r:id="rId9" w:history="1">
        <w:r w:rsidRPr="00254027">
          <w:rPr>
            <w:rStyle w:val="Hyperlink"/>
            <w:rFonts w:ascii="Times New Roman" w:hAnsi="Times New Roman" w:cs="Times New Roman"/>
            <w:sz w:val="24"/>
            <w:szCs w:val="24"/>
            <w:lang w:val="fr-FR"/>
          </w:rPr>
          <w:t>http://www.gla.ac.uk/schools/socialpolitical/staff/davidwebster/</w:t>
        </w:r>
      </w:hyperlink>
    </w:p>
    <w:p w:rsidR="00FA3B60" w:rsidRDefault="00E664F4" w:rsidP="00FA3B60">
      <w:pPr>
        <w:ind w:left="1065"/>
        <w:rPr>
          <w:rFonts w:ascii="Times New Roman" w:hAnsi="Times New Roman" w:cs="Times New Roman"/>
          <w:sz w:val="24"/>
          <w:szCs w:val="24"/>
          <w:lang w:val="fr-FR"/>
        </w:rPr>
      </w:pPr>
      <w:hyperlink r:id="rId10" w:history="1">
        <w:r w:rsidR="00FA3B60" w:rsidRPr="00E32B82">
          <w:rPr>
            <w:rStyle w:val="Hyperlink"/>
            <w:rFonts w:ascii="Times New Roman" w:hAnsi="Times New Roman" w:cs="Times New Roman"/>
            <w:sz w:val="24"/>
            <w:szCs w:val="24"/>
            <w:lang w:val="fr-FR"/>
          </w:rPr>
          <w:t>https://cpag.org.uk/policy-and-research/latest-policy-briefings-and-reports/david-webster-briefings</w:t>
        </w:r>
      </w:hyperlink>
    </w:p>
    <w:p w:rsidR="00631D4C" w:rsidRPr="00254027" w:rsidRDefault="00631D4C" w:rsidP="00631D4C">
      <w:pPr>
        <w:rPr>
          <w:rFonts w:ascii="Times New Roman" w:hAnsi="Times New Roman" w:cs="Times New Roman"/>
          <w:color w:val="0033CC"/>
          <w:sz w:val="24"/>
          <w:szCs w:val="24"/>
          <w:u w:val="single"/>
          <w:lang w:val="fr-FR"/>
        </w:rPr>
      </w:pPr>
      <w:r w:rsidRPr="00254027">
        <w:rPr>
          <w:rFonts w:ascii="Times New Roman" w:hAnsi="Times New Roman" w:cs="Times New Roman"/>
          <w:sz w:val="24"/>
          <w:szCs w:val="24"/>
          <w:lang w:val="fr-FR"/>
        </w:rPr>
        <w:t xml:space="preserve"> </w:t>
      </w:r>
      <w:r w:rsidR="00FA3B60">
        <w:rPr>
          <w:rFonts w:ascii="Times New Roman" w:hAnsi="Times New Roman" w:cs="Times New Roman"/>
          <w:sz w:val="24"/>
          <w:szCs w:val="24"/>
          <w:lang w:val="fr-FR"/>
        </w:rPr>
        <w:tab/>
        <w:t xml:space="preserve">      </w:t>
      </w:r>
      <w:r w:rsidRPr="00254027">
        <w:rPr>
          <w:rFonts w:ascii="Times New Roman" w:hAnsi="Times New Roman" w:cs="Times New Roman"/>
          <w:color w:val="0033CC"/>
          <w:sz w:val="24"/>
          <w:szCs w:val="24"/>
          <w:u w:val="single"/>
          <w:lang w:val="fr-FR"/>
        </w:rPr>
        <w:t>http://www.cpag.org.uk/david-webster</w:t>
      </w:r>
    </w:p>
    <w:p w:rsidR="00300F5C" w:rsidRPr="00D15899" w:rsidRDefault="00300F5C" w:rsidP="005A40B3">
      <w:pPr>
        <w:rPr>
          <w:rFonts w:ascii="Times New Roman" w:hAnsi="Times New Roman" w:cs="Times New Roman"/>
          <w:b/>
          <w:bCs/>
          <w:i/>
          <w:sz w:val="24"/>
          <w:szCs w:val="24"/>
        </w:rPr>
      </w:pPr>
      <w:r w:rsidRPr="00A47C54">
        <w:rPr>
          <w:rFonts w:ascii="Times New Roman" w:hAnsi="Times New Roman" w:cs="Times New Roman"/>
          <w:b/>
          <w:bCs/>
          <w:i/>
          <w:sz w:val="36"/>
          <w:szCs w:val="36"/>
        </w:rPr>
        <w:lastRenderedPageBreak/>
        <w:t>SUMMARY</w:t>
      </w:r>
    </w:p>
    <w:p w:rsidR="000E41A3" w:rsidRPr="00C575A0" w:rsidRDefault="000E41A3" w:rsidP="005A40B3">
      <w:pPr>
        <w:rPr>
          <w:rFonts w:ascii="Times New Roman" w:hAnsi="Times New Roman" w:cs="Times New Roman"/>
          <w:sz w:val="24"/>
          <w:szCs w:val="24"/>
        </w:rPr>
      </w:pPr>
    </w:p>
    <w:p w:rsidR="00BF5EE0" w:rsidRPr="00BF5EE0" w:rsidRDefault="004B7336" w:rsidP="00BF5EE0">
      <w:pPr>
        <w:rPr>
          <w:rFonts w:ascii="Times New Roman" w:hAnsi="Times New Roman" w:cs="Times New Roman"/>
          <w:sz w:val="24"/>
          <w:szCs w:val="24"/>
        </w:rPr>
      </w:pPr>
      <w:r w:rsidRPr="00C575A0">
        <w:rPr>
          <w:rFonts w:ascii="Times New Roman" w:hAnsi="Times New Roman" w:cs="Times New Roman"/>
          <w:bCs/>
          <w:sz w:val="24"/>
          <w:szCs w:val="24"/>
        </w:rPr>
        <w:t xml:space="preserve">This Briefing reports on the quarterly Universal Credit </w:t>
      </w:r>
      <w:r w:rsidR="00092C0B" w:rsidRPr="00C575A0">
        <w:rPr>
          <w:rFonts w:ascii="Times New Roman" w:hAnsi="Times New Roman" w:cs="Times New Roman"/>
          <w:bCs/>
          <w:sz w:val="24"/>
          <w:szCs w:val="24"/>
        </w:rPr>
        <w:t xml:space="preserve">(UC) </w:t>
      </w:r>
      <w:r w:rsidRPr="00C575A0">
        <w:rPr>
          <w:rFonts w:ascii="Times New Roman" w:hAnsi="Times New Roman" w:cs="Times New Roman"/>
          <w:bCs/>
          <w:sz w:val="24"/>
          <w:szCs w:val="24"/>
        </w:rPr>
        <w:t xml:space="preserve">sanctions statistics for Great Britain published </w:t>
      </w:r>
      <w:r w:rsidR="00092C0B" w:rsidRPr="00C575A0">
        <w:rPr>
          <w:rFonts w:ascii="Times New Roman" w:hAnsi="Times New Roman" w:cs="Times New Roman"/>
          <w:bCs/>
          <w:sz w:val="24"/>
          <w:szCs w:val="24"/>
        </w:rPr>
        <w:t xml:space="preserve">by DWP </w:t>
      </w:r>
      <w:r w:rsidRPr="00C575A0">
        <w:rPr>
          <w:rFonts w:ascii="Times New Roman" w:hAnsi="Times New Roman" w:cs="Times New Roman"/>
          <w:bCs/>
          <w:sz w:val="24"/>
          <w:szCs w:val="24"/>
        </w:rPr>
        <w:t xml:space="preserve">on </w:t>
      </w:r>
      <w:r w:rsidR="00F51BD7">
        <w:rPr>
          <w:rFonts w:ascii="Times New Roman" w:hAnsi="Times New Roman" w:cs="Times New Roman"/>
          <w:bCs/>
          <w:sz w:val="24"/>
          <w:szCs w:val="24"/>
        </w:rPr>
        <w:t>13 February</w:t>
      </w:r>
      <w:r w:rsidRPr="00C575A0">
        <w:rPr>
          <w:rFonts w:ascii="Times New Roman" w:hAnsi="Times New Roman" w:cs="Times New Roman"/>
          <w:bCs/>
          <w:sz w:val="24"/>
          <w:szCs w:val="24"/>
        </w:rPr>
        <w:t>.</w:t>
      </w:r>
      <w:r w:rsidR="0042062C">
        <w:rPr>
          <w:rFonts w:ascii="Times New Roman" w:hAnsi="Times New Roman" w:cs="Times New Roman"/>
          <w:bCs/>
          <w:sz w:val="24"/>
          <w:szCs w:val="24"/>
        </w:rPr>
        <w:t xml:space="preserve"> </w:t>
      </w:r>
      <w:r w:rsidR="00BF5EE0" w:rsidRPr="00BF5EE0">
        <w:rPr>
          <w:rFonts w:ascii="Times New Roman" w:hAnsi="Times New Roman" w:cs="Times New Roman"/>
          <w:sz w:val="24"/>
          <w:szCs w:val="24"/>
        </w:rPr>
        <w:t>With this release, DWP has for the first time published statistics on Stat-Xplore showing the ‘levels’ of and reasons for UC sanctions for Full Service (which now covers all UC sanctions). It has also reinstated the two suspended sets of sanctions statistics, namely the proportion of UC claimants serving a sanction at a point in time prior to April 2019, and the duration and median length of UC sanctions. For both these latter sets of statistics, it has introduced new methodologies</w:t>
      </w:r>
      <w:r w:rsidR="00FC693C">
        <w:rPr>
          <w:rFonts w:ascii="Times New Roman" w:hAnsi="Times New Roman" w:cs="Times New Roman"/>
          <w:sz w:val="24"/>
          <w:szCs w:val="24"/>
        </w:rPr>
        <w:t xml:space="preserve">; these show that the DWP statistics have been understating both </w:t>
      </w:r>
      <w:r w:rsidR="007A7476">
        <w:rPr>
          <w:rFonts w:ascii="Times New Roman" w:hAnsi="Times New Roman" w:cs="Times New Roman"/>
          <w:sz w:val="24"/>
          <w:szCs w:val="24"/>
        </w:rPr>
        <w:t>numbers under sanction and durations.</w:t>
      </w:r>
    </w:p>
    <w:p w:rsidR="004B7336" w:rsidRPr="00BF5EE0" w:rsidRDefault="004B7336">
      <w:pPr>
        <w:rPr>
          <w:rFonts w:ascii="Times New Roman" w:hAnsi="Times New Roman" w:cs="Times New Roman"/>
          <w:bCs/>
          <w:sz w:val="24"/>
          <w:szCs w:val="24"/>
        </w:rPr>
      </w:pPr>
    </w:p>
    <w:p w:rsidR="00BF5EE0" w:rsidRPr="00FA3B60" w:rsidRDefault="00BF5EE0" w:rsidP="00BF5EE0">
      <w:pPr>
        <w:rPr>
          <w:rFonts w:ascii="Times New Roman" w:hAnsi="Times New Roman" w:cs="Times New Roman"/>
          <w:b/>
          <w:sz w:val="32"/>
          <w:szCs w:val="32"/>
        </w:rPr>
      </w:pPr>
      <w:r w:rsidRPr="00FA3B60">
        <w:rPr>
          <w:rFonts w:ascii="Times New Roman" w:hAnsi="Times New Roman" w:cs="Times New Roman"/>
          <w:sz w:val="24"/>
          <w:szCs w:val="24"/>
        </w:rPr>
        <w:t>The most important remaining gap is figures on the UC appeal system for Full Service, which now covers all UC claimants. Almost eight years on from the start of rollout in May 2016</w:t>
      </w:r>
      <w:r>
        <w:rPr>
          <w:rFonts w:ascii="Times New Roman" w:hAnsi="Times New Roman" w:cs="Times New Roman"/>
          <w:sz w:val="24"/>
          <w:szCs w:val="24"/>
        </w:rPr>
        <w:t>, D</w:t>
      </w:r>
      <w:r w:rsidRPr="00FA3B60">
        <w:rPr>
          <w:rFonts w:ascii="Times New Roman" w:hAnsi="Times New Roman" w:cs="Times New Roman"/>
          <w:sz w:val="24"/>
          <w:szCs w:val="24"/>
        </w:rPr>
        <w:t xml:space="preserve">WP has still </w:t>
      </w:r>
      <w:r w:rsidR="0042062C">
        <w:rPr>
          <w:rFonts w:ascii="Times New Roman" w:hAnsi="Times New Roman" w:cs="Times New Roman"/>
          <w:sz w:val="24"/>
          <w:szCs w:val="24"/>
        </w:rPr>
        <w:t>not indicated</w:t>
      </w:r>
      <w:r w:rsidRPr="00FA3B60">
        <w:rPr>
          <w:rFonts w:ascii="Times New Roman" w:hAnsi="Times New Roman" w:cs="Times New Roman"/>
          <w:sz w:val="24"/>
          <w:szCs w:val="24"/>
        </w:rPr>
        <w:t xml:space="preserve"> when these might be published</w:t>
      </w:r>
      <w:r>
        <w:rPr>
          <w:rFonts w:ascii="Times New Roman" w:hAnsi="Times New Roman" w:cs="Times New Roman"/>
          <w:b/>
          <w:sz w:val="32"/>
          <w:szCs w:val="32"/>
        </w:rPr>
        <w:t>.</w:t>
      </w:r>
      <w:r w:rsidRPr="00FA3B60">
        <w:rPr>
          <w:rFonts w:ascii="Times New Roman" w:hAnsi="Times New Roman" w:cs="Times New Roman"/>
          <w:b/>
          <w:sz w:val="32"/>
          <w:szCs w:val="32"/>
        </w:rPr>
        <w:t xml:space="preserve"> </w:t>
      </w:r>
    </w:p>
    <w:p w:rsidR="004B7336" w:rsidRDefault="004B7336">
      <w:pPr>
        <w:rPr>
          <w:rFonts w:ascii="Times New Roman" w:hAnsi="Times New Roman" w:cs="Times New Roman"/>
          <w:bCs/>
          <w:sz w:val="24"/>
          <w:szCs w:val="24"/>
        </w:rPr>
      </w:pPr>
    </w:p>
    <w:p w:rsidR="00BF5EE0" w:rsidRDefault="00BF5EE0" w:rsidP="00BF5EE0">
      <w:pPr>
        <w:rPr>
          <w:rFonts w:ascii="Times New Roman" w:hAnsi="Times New Roman" w:cs="Times New Roman"/>
          <w:sz w:val="24"/>
          <w:szCs w:val="24"/>
        </w:rPr>
      </w:pPr>
      <w:r>
        <w:rPr>
          <w:rFonts w:ascii="Times New Roman" w:hAnsi="Times New Roman" w:cs="Times New Roman"/>
          <w:sz w:val="24"/>
          <w:szCs w:val="24"/>
        </w:rPr>
        <w:t xml:space="preserve">There has been a slight uptick in UC sanctions imposed in the latest quarter, both in absolute terms and as a proportion of claimants subject to conditionality, but the general pattern is unchanged. </w:t>
      </w:r>
      <w:r w:rsidRPr="00501599">
        <w:rPr>
          <w:rFonts w:ascii="Times New Roman" w:hAnsi="Times New Roman" w:cs="Times New Roman"/>
          <w:sz w:val="24"/>
          <w:szCs w:val="24"/>
        </w:rPr>
        <w:t>After rising rapidly following the pandemic, monthly UC sanctions have more or less stabilised</w:t>
      </w:r>
      <w:r>
        <w:rPr>
          <w:rFonts w:ascii="Times New Roman" w:hAnsi="Times New Roman" w:cs="Times New Roman"/>
          <w:sz w:val="24"/>
          <w:szCs w:val="24"/>
        </w:rPr>
        <w:t xml:space="preserve"> at a higher level than</w:t>
      </w:r>
      <w:r w:rsidRPr="00501599">
        <w:rPr>
          <w:rFonts w:ascii="Times New Roman" w:hAnsi="Times New Roman" w:cs="Times New Roman"/>
          <w:sz w:val="24"/>
          <w:szCs w:val="24"/>
        </w:rPr>
        <w:t xml:space="preserve"> before the pandemic. </w:t>
      </w:r>
      <w:r>
        <w:rPr>
          <w:rFonts w:ascii="Times New Roman" w:hAnsi="Times New Roman" w:cs="Times New Roman"/>
          <w:sz w:val="24"/>
          <w:szCs w:val="24"/>
        </w:rPr>
        <w:t xml:space="preserve"> </w:t>
      </w:r>
      <w:r w:rsidR="0042062C">
        <w:rPr>
          <w:rFonts w:ascii="Times New Roman" w:hAnsi="Times New Roman" w:cs="Times New Roman"/>
          <w:sz w:val="24"/>
          <w:szCs w:val="24"/>
        </w:rPr>
        <w:t>They</w:t>
      </w:r>
      <w:r w:rsidRPr="00501599">
        <w:rPr>
          <w:rFonts w:ascii="Times New Roman" w:hAnsi="Times New Roman" w:cs="Times New Roman"/>
          <w:sz w:val="24"/>
          <w:szCs w:val="24"/>
        </w:rPr>
        <w:t xml:space="preserve"> </w:t>
      </w:r>
      <w:r>
        <w:rPr>
          <w:rFonts w:ascii="Times New Roman" w:hAnsi="Times New Roman" w:cs="Times New Roman"/>
          <w:sz w:val="24"/>
          <w:szCs w:val="24"/>
        </w:rPr>
        <w:t xml:space="preserve">were </w:t>
      </w:r>
      <w:r w:rsidRPr="00501599">
        <w:rPr>
          <w:rFonts w:ascii="Times New Roman" w:hAnsi="Times New Roman" w:cs="Times New Roman"/>
          <w:sz w:val="24"/>
          <w:szCs w:val="24"/>
        </w:rPr>
        <w:t xml:space="preserve">an average of </w:t>
      </w:r>
      <w:r>
        <w:rPr>
          <w:rFonts w:ascii="Times New Roman" w:hAnsi="Times New Roman" w:cs="Times New Roman"/>
          <w:sz w:val="24"/>
          <w:szCs w:val="24"/>
        </w:rPr>
        <w:t>49,528</w:t>
      </w:r>
      <w:r w:rsidRPr="00501599">
        <w:rPr>
          <w:rFonts w:ascii="Times New Roman" w:hAnsi="Times New Roman" w:cs="Times New Roman"/>
          <w:sz w:val="24"/>
          <w:szCs w:val="24"/>
        </w:rPr>
        <w:t xml:space="preserve"> </w:t>
      </w:r>
      <w:r>
        <w:rPr>
          <w:rFonts w:ascii="Times New Roman" w:hAnsi="Times New Roman" w:cs="Times New Roman"/>
          <w:sz w:val="24"/>
          <w:szCs w:val="24"/>
        </w:rPr>
        <w:t xml:space="preserve">(2.64% of claimants) </w:t>
      </w:r>
      <w:r w:rsidRPr="00501599">
        <w:rPr>
          <w:rFonts w:ascii="Times New Roman" w:hAnsi="Times New Roman" w:cs="Times New Roman"/>
          <w:sz w:val="24"/>
          <w:szCs w:val="24"/>
        </w:rPr>
        <w:t xml:space="preserve">in the latest quarter, to </w:t>
      </w:r>
      <w:r>
        <w:rPr>
          <w:rFonts w:ascii="Times New Roman" w:hAnsi="Times New Roman" w:cs="Times New Roman"/>
          <w:sz w:val="24"/>
          <w:szCs w:val="24"/>
        </w:rPr>
        <w:t>October</w:t>
      </w:r>
      <w:r w:rsidRPr="00501599">
        <w:rPr>
          <w:rFonts w:ascii="Times New Roman" w:hAnsi="Times New Roman" w:cs="Times New Roman"/>
          <w:sz w:val="24"/>
          <w:szCs w:val="24"/>
        </w:rPr>
        <w:t xml:space="preserve"> 2023</w:t>
      </w:r>
      <w:r>
        <w:rPr>
          <w:rFonts w:ascii="Times New Roman" w:hAnsi="Times New Roman" w:cs="Times New Roman"/>
          <w:sz w:val="24"/>
          <w:szCs w:val="24"/>
        </w:rPr>
        <w:t>, close to three</w:t>
      </w:r>
      <w:r w:rsidRPr="00501599">
        <w:rPr>
          <w:rFonts w:ascii="Times New Roman" w:hAnsi="Times New Roman" w:cs="Times New Roman"/>
          <w:sz w:val="24"/>
          <w:szCs w:val="24"/>
        </w:rPr>
        <w:t xml:space="preserve"> times the average </w:t>
      </w:r>
      <w:r w:rsidR="007A7476">
        <w:rPr>
          <w:rFonts w:ascii="Times New Roman" w:hAnsi="Times New Roman" w:cs="Times New Roman"/>
          <w:sz w:val="24"/>
          <w:szCs w:val="24"/>
        </w:rPr>
        <w:t xml:space="preserve">of 17,290 </w:t>
      </w:r>
      <w:r w:rsidRPr="00501599">
        <w:rPr>
          <w:rFonts w:ascii="Times New Roman" w:hAnsi="Times New Roman" w:cs="Times New Roman"/>
          <w:sz w:val="24"/>
          <w:szCs w:val="24"/>
        </w:rPr>
        <w:t>in the last full three months before the pandemic</w:t>
      </w:r>
      <w:r>
        <w:rPr>
          <w:rFonts w:ascii="Times New Roman" w:hAnsi="Times New Roman" w:cs="Times New Roman"/>
          <w:sz w:val="24"/>
          <w:szCs w:val="24"/>
        </w:rPr>
        <w:t xml:space="preserve"> (which was 1.4% of claimants).</w:t>
      </w:r>
    </w:p>
    <w:p w:rsidR="00BF5EE0" w:rsidRDefault="00BF5EE0" w:rsidP="00BF5EE0">
      <w:pPr>
        <w:rPr>
          <w:rFonts w:ascii="Times New Roman" w:hAnsi="Times New Roman" w:cs="Times New Roman"/>
          <w:sz w:val="24"/>
          <w:szCs w:val="24"/>
        </w:rPr>
      </w:pPr>
    </w:p>
    <w:p w:rsidR="0042062C" w:rsidRPr="00BF5EE0" w:rsidRDefault="0042062C" w:rsidP="0042062C">
      <w:pPr>
        <w:rPr>
          <w:rFonts w:ascii="Times New Roman" w:hAnsi="Times New Roman" w:cs="Times New Roman"/>
          <w:sz w:val="24"/>
          <w:szCs w:val="24"/>
        </w:rPr>
      </w:pPr>
      <w:r w:rsidRPr="00BF5EE0">
        <w:rPr>
          <w:rFonts w:ascii="Times New Roman" w:hAnsi="Times New Roman" w:cs="Times New Roman"/>
          <w:sz w:val="24"/>
          <w:szCs w:val="24"/>
        </w:rPr>
        <w:t xml:space="preserve">A total of 538,842 UC sanctions were imposed in the year to end-October 2023, </w:t>
      </w:r>
      <w:r>
        <w:rPr>
          <w:rFonts w:ascii="Times New Roman" w:hAnsi="Times New Roman" w:cs="Times New Roman"/>
          <w:sz w:val="24"/>
          <w:szCs w:val="24"/>
        </w:rPr>
        <w:t>and</w:t>
      </w:r>
      <w:r w:rsidRPr="00BF5EE0">
        <w:rPr>
          <w:rFonts w:ascii="Times New Roman" w:hAnsi="Times New Roman" w:cs="Times New Roman"/>
          <w:sz w:val="24"/>
          <w:szCs w:val="24"/>
        </w:rPr>
        <w:t xml:space="preserve"> 419,219</w:t>
      </w:r>
      <w:r>
        <w:rPr>
          <w:rFonts w:ascii="Times New Roman" w:hAnsi="Times New Roman" w:cs="Times New Roman"/>
          <w:sz w:val="24"/>
          <w:szCs w:val="24"/>
        </w:rPr>
        <w:t xml:space="preserve"> </w:t>
      </w:r>
      <w:r w:rsidRPr="00BF5EE0">
        <w:rPr>
          <w:rFonts w:ascii="Times New Roman" w:hAnsi="Times New Roman" w:cs="Times New Roman"/>
          <w:sz w:val="24"/>
          <w:szCs w:val="24"/>
        </w:rPr>
        <w:t>individual UC claimants received at least one sanction.</w:t>
      </w:r>
    </w:p>
    <w:p w:rsidR="00BF5EE0" w:rsidRPr="00FC693C" w:rsidRDefault="00BF5EE0" w:rsidP="00BF5EE0">
      <w:pPr>
        <w:rPr>
          <w:rFonts w:ascii="Times New Roman" w:hAnsi="Times New Roman" w:cs="Times New Roman"/>
          <w:sz w:val="24"/>
          <w:szCs w:val="24"/>
        </w:rPr>
      </w:pPr>
    </w:p>
    <w:p w:rsidR="00BF5EE0" w:rsidRPr="00FC693C" w:rsidRDefault="00FC693C" w:rsidP="00BF5EE0">
      <w:pPr>
        <w:rPr>
          <w:rFonts w:ascii="Times New Roman" w:hAnsi="Times New Roman" w:cs="Times New Roman"/>
          <w:sz w:val="24"/>
          <w:szCs w:val="24"/>
        </w:rPr>
      </w:pPr>
      <w:r w:rsidRPr="00FC693C">
        <w:rPr>
          <w:rFonts w:ascii="Times New Roman" w:hAnsi="Times New Roman" w:cs="Times New Roman"/>
          <w:sz w:val="24"/>
          <w:szCs w:val="24"/>
        </w:rPr>
        <w:t>The reason ‘Failure to attend or participate in a Work-Focused Interview’ has domina</w:t>
      </w:r>
      <w:r w:rsidR="007A7476">
        <w:rPr>
          <w:rFonts w:ascii="Times New Roman" w:hAnsi="Times New Roman" w:cs="Times New Roman"/>
          <w:sz w:val="24"/>
          <w:szCs w:val="24"/>
        </w:rPr>
        <w:t>ted</w:t>
      </w:r>
      <w:r w:rsidRPr="00FC693C">
        <w:rPr>
          <w:rFonts w:ascii="Times New Roman" w:hAnsi="Times New Roman" w:cs="Times New Roman"/>
          <w:sz w:val="24"/>
          <w:szCs w:val="24"/>
        </w:rPr>
        <w:t xml:space="preserve"> throughout the period since August 2015 and in recent </w:t>
      </w:r>
      <w:proofErr w:type="gramStart"/>
      <w:r w:rsidRPr="00FC693C">
        <w:rPr>
          <w:rFonts w:ascii="Times New Roman" w:hAnsi="Times New Roman" w:cs="Times New Roman"/>
          <w:sz w:val="24"/>
          <w:szCs w:val="24"/>
        </w:rPr>
        <w:t>years</w:t>
      </w:r>
      <w:proofErr w:type="gramEnd"/>
      <w:r w:rsidRPr="00FC693C">
        <w:rPr>
          <w:rFonts w:ascii="Times New Roman" w:hAnsi="Times New Roman" w:cs="Times New Roman"/>
          <w:sz w:val="24"/>
          <w:szCs w:val="24"/>
        </w:rPr>
        <w:t xml:space="preserve"> sanctions for any other reason have fallen to almost nothing. In the latest quarter there were 140,850 sanctions (94.8%) for missed interviews, and only 7,700 for any other reason. It appears that the explanation is that due to staff shortages</w:t>
      </w:r>
      <w:r w:rsidR="007A7476">
        <w:rPr>
          <w:rFonts w:ascii="Times New Roman" w:hAnsi="Times New Roman" w:cs="Times New Roman"/>
          <w:sz w:val="24"/>
          <w:szCs w:val="24"/>
        </w:rPr>
        <w:t>,</w:t>
      </w:r>
      <w:r w:rsidRPr="00FC693C">
        <w:rPr>
          <w:rFonts w:ascii="Times New Roman" w:hAnsi="Times New Roman" w:cs="Times New Roman"/>
          <w:sz w:val="24"/>
          <w:szCs w:val="24"/>
        </w:rPr>
        <w:t xml:space="preserve"> pressured Jobcentre </w:t>
      </w:r>
      <w:proofErr w:type="gramStart"/>
      <w:r w:rsidRPr="00FC693C">
        <w:rPr>
          <w:rFonts w:ascii="Times New Roman" w:hAnsi="Times New Roman" w:cs="Times New Roman"/>
          <w:sz w:val="24"/>
          <w:szCs w:val="24"/>
        </w:rPr>
        <w:t>staff opt</w:t>
      </w:r>
      <w:proofErr w:type="gramEnd"/>
      <w:r w:rsidRPr="00FC693C">
        <w:rPr>
          <w:rFonts w:ascii="Times New Roman" w:hAnsi="Times New Roman" w:cs="Times New Roman"/>
          <w:sz w:val="24"/>
          <w:szCs w:val="24"/>
        </w:rPr>
        <w:t xml:space="preserve"> for this reason as it is less work for them.</w:t>
      </w:r>
    </w:p>
    <w:p w:rsidR="00FC693C" w:rsidRPr="00FC693C" w:rsidRDefault="00FC693C" w:rsidP="00BF5EE0">
      <w:pPr>
        <w:rPr>
          <w:rFonts w:ascii="Times New Roman" w:hAnsi="Times New Roman" w:cs="Times New Roman"/>
          <w:sz w:val="24"/>
          <w:szCs w:val="24"/>
        </w:rPr>
      </w:pPr>
    </w:p>
    <w:p w:rsidR="00FC693C" w:rsidRDefault="00FC693C" w:rsidP="00BF5EE0">
      <w:pPr>
        <w:rPr>
          <w:rFonts w:ascii="Times New Roman" w:hAnsi="Times New Roman" w:cs="Times New Roman"/>
          <w:sz w:val="24"/>
          <w:szCs w:val="24"/>
        </w:rPr>
      </w:pPr>
      <w:r w:rsidRPr="00FC693C">
        <w:rPr>
          <w:rFonts w:ascii="Times New Roman" w:hAnsi="Times New Roman" w:cs="Times New Roman"/>
          <w:sz w:val="24"/>
          <w:szCs w:val="24"/>
        </w:rPr>
        <w:t>Since a missed interview attracts a ‘low’ or occasionally ‘lowest’ level of sanction, it is not surprising that these levels are shown to account for 91.3% of all UC sanctions to date, of which 88.8% were ‘low’ and only 2.6% ‘lowest’</w:t>
      </w:r>
      <w:r>
        <w:rPr>
          <w:rFonts w:ascii="Times New Roman" w:hAnsi="Times New Roman" w:cs="Times New Roman"/>
          <w:sz w:val="24"/>
          <w:szCs w:val="24"/>
        </w:rPr>
        <w:t>.</w:t>
      </w:r>
    </w:p>
    <w:p w:rsidR="00FC693C" w:rsidRDefault="00FC693C" w:rsidP="00BF5EE0">
      <w:pPr>
        <w:rPr>
          <w:rFonts w:ascii="Times New Roman" w:hAnsi="Times New Roman" w:cs="Times New Roman"/>
          <w:sz w:val="24"/>
          <w:szCs w:val="24"/>
        </w:rPr>
      </w:pPr>
    </w:p>
    <w:p w:rsidR="00393530" w:rsidRDefault="00FC693C" w:rsidP="00393530">
      <w:pPr>
        <w:rPr>
          <w:rFonts w:ascii="Times New Roman" w:hAnsi="Times New Roman" w:cs="Times New Roman"/>
          <w:sz w:val="24"/>
          <w:szCs w:val="24"/>
        </w:rPr>
      </w:pPr>
      <w:r>
        <w:rPr>
          <w:rFonts w:ascii="Times New Roman" w:hAnsi="Times New Roman" w:cs="Times New Roman"/>
          <w:sz w:val="24"/>
          <w:szCs w:val="24"/>
        </w:rPr>
        <w:t>A problematic feature however is that ‘low’ and ‘lowest’ level sanctions both apply ‘until compliance’, with ‘low’ level having an additional penalty on top. This result</w:t>
      </w:r>
      <w:r w:rsidR="007A7476">
        <w:rPr>
          <w:rFonts w:ascii="Times New Roman" w:hAnsi="Times New Roman" w:cs="Times New Roman"/>
          <w:sz w:val="24"/>
          <w:szCs w:val="24"/>
        </w:rPr>
        <w:t xml:space="preserve">s in </w:t>
      </w:r>
      <w:r>
        <w:rPr>
          <w:rFonts w:ascii="Times New Roman" w:hAnsi="Times New Roman" w:cs="Times New Roman"/>
          <w:sz w:val="24"/>
          <w:szCs w:val="24"/>
        </w:rPr>
        <w:t xml:space="preserve">very long </w:t>
      </w:r>
      <w:r w:rsidR="007A7476">
        <w:rPr>
          <w:rFonts w:ascii="Times New Roman" w:hAnsi="Times New Roman" w:cs="Times New Roman"/>
          <w:sz w:val="24"/>
          <w:szCs w:val="24"/>
        </w:rPr>
        <w:t>sanctions</w:t>
      </w:r>
      <w:r>
        <w:rPr>
          <w:rFonts w:ascii="Times New Roman" w:hAnsi="Times New Roman" w:cs="Times New Roman"/>
          <w:sz w:val="24"/>
          <w:szCs w:val="24"/>
        </w:rPr>
        <w:t xml:space="preserve">. </w:t>
      </w:r>
      <w:r w:rsidR="00393530">
        <w:rPr>
          <w:rFonts w:ascii="Times New Roman" w:hAnsi="Times New Roman" w:cs="Times New Roman"/>
          <w:sz w:val="24"/>
          <w:szCs w:val="24"/>
        </w:rPr>
        <w:t>About half of completed sanctions are lasting betwee</w:t>
      </w:r>
      <w:r w:rsidR="00D5132C">
        <w:rPr>
          <w:rFonts w:ascii="Times New Roman" w:hAnsi="Times New Roman" w:cs="Times New Roman"/>
          <w:sz w:val="24"/>
          <w:szCs w:val="24"/>
        </w:rPr>
        <w:t>n 5 and 13 weeks, and about 10% are lasting</w:t>
      </w:r>
      <w:r w:rsidR="00393530">
        <w:rPr>
          <w:rFonts w:ascii="Times New Roman" w:hAnsi="Times New Roman" w:cs="Times New Roman"/>
          <w:sz w:val="24"/>
          <w:szCs w:val="24"/>
        </w:rPr>
        <w:t xml:space="preserve"> each of 14 to 26 weeks, and 27 weeks or more. In the latest quarter the median duration was 44 days or over 6 weeks, and an improved methodology gives an estimated mean of 63 days (9 weeks).</w:t>
      </w:r>
      <w:r w:rsidR="0042062C">
        <w:rPr>
          <w:rFonts w:ascii="Times New Roman" w:hAnsi="Times New Roman" w:cs="Times New Roman"/>
          <w:sz w:val="24"/>
          <w:szCs w:val="24"/>
        </w:rPr>
        <w:t xml:space="preserve"> Durations have increased, and it appears this may because the understaffing has made it more difficult for claimants to demonstrate compliance.</w:t>
      </w:r>
      <w:r w:rsidR="00EB25EE">
        <w:rPr>
          <w:rFonts w:ascii="Times New Roman" w:hAnsi="Times New Roman" w:cs="Times New Roman"/>
          <w:sz w:val="24"/>
          <w:szCs w:val="24"/>
        </w:rPr>
        <w:t xml:space="preserve"> The pandemic also seems to have prevented some claimants from demonstrating compliance.</w:t>
      </w:r>
    </w:p>
    <w:p w:rsidR="00FC693C" w:rsidRPr="00FC693C" w:rsidRDefault="00FC693C" w:rsidP="00BF5EE0">
      <w:pPr>
        <w:rPr>
          <w:rFonts w:ascii="Times New Roman" w:hAnsi="Times New Roman" w:cs="Times New Roman"/>
          <w:sz w:val="24"/>
          <w:szCs w:val="24"/>
        </w:rPr>
      </w:pPr>
    </w:p>
    <w:p w:rsidR="005B1214" w:rsidRDefault="00393530" w:rsidP="00944EFD">
      <w:pPr>
        <w:rPr>
          <w:rFonts w:ascii="Times New Roman" w:hAnsi="Times New Roman" w:cs="Times New Roman"/>
          <w:sz w:val="24"/>
          <w:szCs w:val="24"/>
        </w:rPr>
      </w:pPr>
      <w:r>
        <w:rPr>
          <w:rFonts w:ascii="Times New Roman" w:hAnsi="Times New Roman" w:cs="Times New Roman"/>
          <w:sz w:val="24"/>
          <w:szCs w:val="24"/>
        </w:rPr>
        <w:t xml:space="preserve">On the basis of the </w:t>
      </w:r>
      <w:r w:rsidR="00D5132C">
        <w:rPr>
          <w:rFonts w:ascii="Times New Roman" w:hAnsi="Times New Roman" w:cs="Times New Roman"/>
          <w:sz w:val="24"/>
          <w:szCs w:val="24"/>
        </w:rPr>
        <w:t xml:space="preserve">newly </w:t>
      </w:r>
      <w:r>
        <w:rPr>
          <w:rFonts w:ascii="Times New Roman" w:hAnsi="Times New Roman" w:cs="Times New Roman"/>
          <w:sz w:val="24"/>
          <w:szCs w:val="24"/>
        </w:rPr>
        <w:t>revised figures, t</w:t>
      </w:r>
      <w:r w:rsidRPr="00917EFA">
        <w:rPr>
          <w:rFonts w:ascii="Times New Roman" w:hAnsi="Times New Roman" w:cs="Times New Roman"/>
          <w:sz w:val="24"/>
          <w:szCs w:val="24"/>
        </w:rPr>
        <w:t xml:space="preserve">he number of UC claimants who were serving a sanction at a point in time </w:t>
      </w:r>
      <w:r>
        <w:rPr>
          <w:rFonts w:ascii="Times New Roman" w:hAnsi="Times New Roman" w:cs="Times New Roman"/>
          <w:sz w:val="24"/>
          <w:szCs w:val="24"/>
        </w:rPr>
        <w:t xml:space="preserve">was an </w:t>
      </w:r>
      <w:r w:rsidRPr="00917EFA">
        <w:rPr>
          <w:rFonts w:ascii="Times New Roman" w:hAnsi="Times New Roman" w:cs="Times New Roman"/>
          <w:sz w:val="24"/>
          <w:szCs w:val="24"/>
        </w:rPr>
        <w:t>average</w:t>
      </w:r>
      <w:r>
        <w:rPr>
          <w:rFonts w:ascii="Times New Roman" w:hAnsi="Times New Roman" w:cs="Times New Roman"/>
          <w:sz w:val="24"/>
          <w:szCs w:val="24"/>
        </w:rPr>
        <w:t xml:space="preserve"> of</w:t>
      </w:r>
      <w:r w:rsidRPr="00917EFA">
        <w:rPr>
          <w:rFonts w:ascii="Times New Roman" w:hAnsi="Times New Roman" w:cs="Times New Roman"/>
          <w:sz w:val="24"/>
          <w:szCs w:val="24"/>
        </w:rPr>
        <w:t xml:space="preserve"> </w:t>
      </w:r>
      <w:r>
        <w:rPr>
          <w:rFonts w:ascii="Times New Roman" w:hAnsi="Times New Roman" w:cs="Times New Roman"/>
          <w:sz w:val="24"/>
          <w:szCs w:val="24"/>
        </w:rPr>
        <w:t>136,075 in the latest quarter (7.25% of claimants subject to conditionality).</w:t>
      </w:r>
    </w:p>
    <w:p w:rsidR="005B1214" w:rsidRDefault="005B1214" w:rsidP="00944EFD">
      <w:pPr>
        <w:rPr>
          <w:rFonts w:ascii="Times New Roman" w:hAnsi="Times New Roman" w:cs="Times New Roman"/>
          <w:sz w:val="24"/>
          <w:szCs w:val="24"/>
        </w:rPr>
      </w:pPr>
    </w:p>
    <w:p w:rsidR="00B00E29" w:rsidRPr="00FC693C" w:rsidRDefault="005B1214" w:rsidP="00944EFD">
      <w:pPr>
        <w:rPr>
          <w:rFonts w:ascii="Times New Roman" w:hAnsi="Times New Roman" w:cs="Times New Roman"/>
          <w:sz w:val="24"/>
          <w:szCs w:val="24"/>
        </w:rPr>
      </w:pPr>
      <w:r>
        <w:rPr>
          <w:rFonts w:ascii="Times New Roman" w:hAnsi="Times New Roman" w:cs="Times New Roman"/>
          <w:sz w:val="24"/>
          <w:szCs w:val="24"/>
        </w:rPr>
        <w:t>At the end of the Briefing there is a news section reporting significant developments.</w:t>
      </w:r>
      <w:r w:rsidR="00B00E29" w:rsidRPr="00FC693C">
        <w:rPr>
          <w:rFonts w:ascii="Times New Roman" w:hAnsi="Times New Roman" w:cs="Times New Roman"/>
          <w:sz w:val="24"/>
          <w:szCs w:val="24"/>
        </w:rPr>
        <w:br w:type="page"/>
      </w:r>
    </w:p>
    <w:p w:rsidR="00772E2C" w:rsidRPr="007C3F8E" w:rsidRDefault="00300F5C" w:rsidP="005A40B3">
      <w:pPr>
        <w:rPr>
          <w:rFonts w:ascii="Times New Roman" w:hAnsi="Times New Roman" w:cs="Times New Roman"/>
          <w:sz w:val="24"/>
          <w:szCs w:val="24"/>
        </w:rPr>
      </w:pPr>
      <w:r w:rsidRPr="002676D9">
        <w:rPr>
          <w:rFonts w:ascii="Times New Roman" w:hAnsi="Times New Roman" w:cs="Times New Roman"/>
          <w:b/>
          <w:bCs/>
          <w:sz w:val="36"/>
          <w:szCs w:val="36"/>
        </w:rPr>
        <w:lastRenderedPageBreak/>
        <w:t xml:space="preserve">BRIEFING: </w:t>
      </w:r>
      <w:r w:rsidR="00772E2C">
        <w:rPr>
          <w:rFonts w:ascii="Times New Roman" w:hAnsi="Times New Roman" w:cs="Times New Roman"/>
          <w:b/>
          <w:bCs/>
          <w:sz w:val="36"/>
          <w:szCs w:val="36"/>
        </w:rPr>
        <w:t>Benefit</w:t>
      </w:r>
      <w:r w:rsidR="002676D9" w:rsidRPr="002676D9">
        <w:rPr>
          <w:rFonts w:ascii="Times New Roman" w:hAnsi="Times New Roman" w:cs="Times New Roman"/>
          <w:b/>
          <w:bCs/>
          <w:sz w:val="36"/>
          <w:szCs w:val="36"/>
        </w:rPr>
        <w:t xml:space="preserve"> Sanctions </w:t>
      </w:r>
      <w:r w:rsidR="00772E2C">
        <w:rPr>
          <w:rFonts w:ascii="Times New Roman" w:hAnsi="Times New Roman" w:cs="Times New Roman"/>
          <w:b/>
          <w:bCs/>
          <w:sz w:val="36"/>
          <w:szCs w:val="36"/>
        </w:rPr>
        <w:t>Statistics</w:t>
      </w:r>
    </w:p>
    <w:p w:rsidR="002676D9" w:rsidRPr="002676D9" w:rsidRDefault="00715171" w:rsidP="005A40B3">
      <w:pPr>
        <w:rPr>
          <w:rFonts w:ascii="Times New Roman" w:hAnsi="Times New Roman" w:cs="Times New Roman"/>
          <w:b/>
          <w:bCs/>
          <w:sz w:val="36"/>
          <w:szCs w:val="36"/>
        </w:rPr>
      </w:pPr>
      <w:r>
        <w:rPr>
          <w:rFonts w:ascii="Times New Roman" w:hAnsi="Times New Roman" w:cs="Times New Roman"/>
          <w:b/>
          <w:bCs/>
          <w:sz w:val="36"/>
          <w:szCs w:val="36"/>
        </w:rPr>
        <w:t>February 2024</w:t>
      </w:r>
    </w:p>
    <w:p w:rsidR="00300F5C" w:rsidRPr="00C575A0" w:rsidRDefault="00300F5C" w:rsidP="005A40B3">
      <w:pPr>
        <w:rPr>
          <w:rFonts w:ascii="Times New Roman" w:hAnsi="Times New Roman" w:cs="Times New Roman"/>
        </w:rPr>
      </w:pPr>
    </w:p>
    <w:p w:rsidR="001962F0" w:rsidRDefault="005F5FDD" w:rsidP="001962F0">
      <w:pPr>
        <w:rPr>
          <w:rFonts w:ascii="Times New Roman" w:hAnsi="Times New Roman" w:cs="Times New Roman"/>
          <w:sz w:val="24"/>
          <w:szCs w:val="24"/>
        </w:rPr>
      </w:pPr>
      <w:r w:rsidRPr="00C575A0">
        <w:rPr>
          <w:rFonts w:ascii="Times New Roman" w:hAnsi="Times New Roman" w:cs="Times New Roman"/>
          <w:sz w:val="24"/>
          <w:szCs w:val="24"/>
        </w:rPr>
        <w:t>Th</w:t>
      </w:r>
      <w:r w:rsidR="00A0131F" w:rsidRPr="00C575A0">
        <w:rPr>
          <w:rFonts w:ascii="Times New Roman" w:hAnsi="Times New Roman" w:cs="Times New Roman"/>
          <w:sz w:val="24"/>
          <w:szCs w:val="24"/>
        </w:rPr>
        <w:t>e</w:t>
      </w:r>
      <w:r w:rsidRPr="00C575A0">
        <w:rPr>
          <w:rFonts w:ascii="Times New Roman" w:hAnsi="Times New Roman" w:cs="Times New Roman"/>
          <w:sz w:val="24"/>
          <w:szCs w:val="24"/>
        </w:rPr>
        <w:t xml:space="preserve"> DWP </w:t>
      </w:r>
      <w:r w:rsidR="00A0131F" w:rsidRPr="00C575A0">
        <w:rPr>
          <w:rFonts w:ascii="Times New Roman" w:hAnsi="Times New Roman" w:cs="Times New Roman"/>
          <w:sz w:val="24"/>
          <w:szCs w:val="24"/>
        </w:rPr>
        <w:t xml:space="preserve">released </w:t>
      </w:r>
      <w:r w:rsidR="00275E51" w:rsidRPr="00C575A0">
        <w:rPr>
          <w:rFonts w:ascii="Times New Roman" w:hAnsi="Times New Roman" w:cs="Times New Roman"/>
          <w:sz w:val="24"/>
          <w:szCs w:val="24"/>
        </w:rPr>
        <w:t>its</w:t>
      </w:r>
      <w:r w:rsidR="00A0131F" w:rsidRPr="00C575A0">
        <w:rPr>
          <w:rFonts w:ascii="Times New Roman" w:hAnsi="Times New Roman" w:cs="Times New Roman"/>
          <w:sz w:val="24"/>
          <w:szCs w:val="24"/>
        </w:rPr>
        <w:t xml:space="preserve"> latest quarterly </w:t>
      </w:r>
      <w:r w:rsidRPr="00C575A0">
        <w:rPr>
          <w:rFonts w:ascii="Times New Roman" w:hAnsi="Times New Roman" w:cs="Times New Roman"/>
          <w:sz w:val="24"/>
          <w:szCs w:val="24"/>
        </w:rPr>
        <w:t xml:space="preserve">sanctions statistics </w:t>
      </w:r>
      <w:r w:rsidR="00D56FE2" w:rsidRPr="00C575A0">
        <w:rPr>
          <w:rFonts w:ascii="Times New Roman" w:hAnsi="Times New Roman" w:cs="Times New Roman"/>
          <w:sz w:val="24"/>
          <w:szCs w:val="24"/>
        </w:rPr>
        <w:t xml:space="preserve">for Universal Credit </w:t>
      </w:r>
      <w:r w:rsidR="00F51BD7">
        <w:rPr>
          <w:rFonts w:ascii="Times New Roman" w:hAnsi="Times New Roman" w:cs="Times New Roman"/>
          <w:sz w:val="24"/>
          <w:szCs w:val="24"/>
        </w:rPr>
        <w:t xml:space="preserve">(UC) </w:t>
      </w:r>
      <w:r w:rsidR="00A0131F" w:rsidRPr="00C575A0">
        <w:rPr>
          <w:rFonts w:ascii="Times New Roman" w:hAnsi="Times New Roman" w:cs="Times New Roman"/>
          <w:sz w:val="24"/>
          <w:szCs w:val="24"/>
        </w:rPr>
        <w:t xml:space="preserve">on </w:t>
      </w:r>
      <w:r w:rsidR="00F51BD7">
        <w:rPr>
          <w:rFonts w:ascii="Times New Roman" w:hAnsi="Times New Roman" w:cs="Times New Roman"/>
          <w:sz w:val="24"/>
          <w:szCs w:val="24"/>
        </w:rPr>
        <w:t>13 February</w:t>
      </w:r>
      <w:r w:rsidR="005F36B6" w:rsidRPr="00C575A0">
        <w:rPr>
          <w:rFonts w:ascii="Times New Roman" w:hAnsi="Times New Roman" w:cs="Times New Roman"/>
          <w:sz w:val="24"/>
          <w:szCs w:val="24"/>
        </w:rPr>
        <w:t>.</w:t>
      </w:r>
      <w:r w:rsidR="001962F0" w:rsidRPr="00C575A0">
        <w:rPr>
          <w:rFonts w:ascii="Times New Roman" w:hAnsi="Times New Roman" w:cs="Times New Roman"/>
          <w:sz w:val="24"/>
          <w:szCs w:val="24"/>
        </w:rPr>
        <w:t xml:space="preserve"> The newly published data are summarised by DWP in the online publication </w:t>
      </w:r>
      <w:r w:rsidR="001962F0" w:rsidRPr="00C575A0">
        <w:rPr>
          <w:rFonts w:ascii="Times New Roman" w:hAnsi="Times New Roman" w:cs="Times New Roman"/>
          <w:i/>
          <w:sz w:val="24"/>
          <w:szCs w:val="24"/>
        </w:rPr>
        <w:t>Benefit Sanctions Statistics</w:t>
      </w:r>
      <w:r w:rsidR="001962F0" w:rsidRPr="00C575A0">
        <w:rPr>
          <w:rFonts w:ascii="Times New Roman" w:hAnsi="Times New Roman" w:cs="Times New Roman"/>
          <w:sz w:val="24"/>
          <w:szCs w:val="24"/>
        </w:rPr>
        <w:t>, available along with methodological notes at</w:t>
      </w:r>
      <w:r w:rsidR="001962F0" w:rsidRPr="007D6546">
        <w:rPr>
          <w:rFonts w:ascii="Times New Roman" w:hAnsi="Times New Roman" w:cs="Times New Roman"/>
          <w:sz w:val="24"/>
          <w:szCs w:val="24"/>
        </w:rPr>
        <w:t xml:space="preserve"> </w:t>
      </w:r>
      <w:hyperlink r:id="rId11" w:history="1">
        <w:r w:rsidR="001962F0" w:rsidRPr="007D6546">
          <w:rPr>
            <w:rStyle w:val="Hyperlink"/>
            <w:rFonts w:ascii="Times New Roman" w:hAnsi="Times New Roman" w:cs="Times New Roman"/>
            <w:sz w:val="24"/>
            <w:szCs w:val="24"/>
          </w:rPr>
          <w:t>https://www.gov.uk/government/collections/jobseekers-allowance-sanctions</w:t>
        </w:r>
      </w:hyperlink>
      <w:r w:rsidR="001962F0" w:rsidRPr="007D6546">
        <w:rPr>
          <w:rFonts w:ascii="Times New Roman" w:hAnsi="Times New Roman" w:cs="Times New Roman"/>
          <w:sz w:val="24"/>
          <w:szCs w:val="24"/>
        </w:rPr>
        <w:t xml:space="preserve"> </w:t>
      </w:r>
      <w:r w:rsidR="001962F0" w:rsidRPr="00C575A0">
        <w:rPr>
          <w:rFonts w:ascii="Times New Roman" w:hAnsi="Times New Roman" w:cs="Times New Roman"/>
          <w:sz w:val="24"/>
          <w:szCs w:val="24"/>
        </w:rPr>
        <w:t xml:space="preserve">together with a spreadsheet with summary tables. Some data are on Stat-Xplore at </w:t>
      </w:r>
      <w:hyperlink r:id="rId12" w:history="1">
        <w:r w:rsidR="001962F0" w:rsidRPr="007D6546">
          <w:rPr>
            <w:rStyle w:val="Hyperlink"/>
            <w:rFonts w:ascii="Times New Roman" w:hAnsi="Times New Roman" w:cs="Times New Roman"/>
            <w:sz w:val="24"/>
            <w:szCs w:val="24"/>
          </w:rPr>
          <w:t>https://stat-xplore.dwp.gov.uk/webapi/jsf/login.xhtml</w:t>
        </w:r>
      </w:hyperlink>
      <w:r w:rsidR="001962F0" w:rsidRPr="007D6546">
        <w:rPr>
          <w:rFonts w:ascii="Times New Roman" w:hAnsi="Times New Roman" w:cs="Times New Roman"/>
          <w:sz w:val="24"/>
          <w:szCs w:val="24"/>
        </w:rPr>
        <w:t xml:space="preserve"> </w:t>
      </w:r>
      <w:r w:rsidR="001962F0">
        <w:rPr>
          <w:rFonts w:ascii="Times New Roman" w:hAnsi="Times New Roman" w:cs="Times New Roman"/>
          <w:sz w:val="24"/>
          <w:szCs w:val="24"/>
        </w:rPr>
        <w:t xml:space="preserve">. </w:t>
      </w:r>
      <w:r w:rsidR="001962F0" w:rsidRPr="00C575A0">
        <w:rPr>
          <w:rFonts w:ascii="Times New Roman" w:hAnsi="Times New Roman" w:cs="Times New Roman"/>
          <w:sz w:val="24"/>
          <w:szCs w:val="24"/>
        </w:rPr>
        <w:t>All statistics presented here relate to Great Britain. All previous Briefings are available at</w:t>
      </w:r>
      <w:r w:rsidR="00F51BD7">
        <w:rPr>
          <w:rFonts w:ascii="Times New Roman" w:hAnsi="Times New Roman" w:cs="Times New Roman"/>
          <w:sz w:val="24"/>
          <w:szCs w:val="24"/>
        </w:rPr>
        <w:t xml:space="preserve"> </w:t>
      </w:r>
      <w:hyperlink r:id="rId13" w:history="1">
        <w:r w:rsidR="00F51BD7" w:rsidRPr="009B30B5">
          <w:rPr>
            <w:rStyle w:val="Hyperlink"/>
            <w:rFonts w:ascii="Times New Roman" w:hAnsi="Times New Roman" w:cs="Times New Roman"/>
            <w:sz w:val="24"/>
            <w:szCs w:val="24"/>
          </w:rPr>
          <w:t>https://cpag.org.uk/policy-and-research/latest-policy-briefings-and-reports/david-webster-briefings</w:t>
        </w:r>
      </w:hyperlink>
      <w:r w:rsidR="00F51BD7">
        <w:rPr>
          <w:rFonts w:ascii="Times New Roman" w:hAnsi="Times New Roman" w:cs="Times New Roman"/>
          <w:sz w:val="24"/>
          <w:szCs w:val="24"/>
        </w:rPr>
        <w:t xml:space="preserve"> </w:t>
      </w:r>
      <w:r w:rsidR="00FA3B60">
        <w:rPr>
          <w:rFonts w:ascii="Times New Roman" w:hAnsi="Times New Roman" w:cs="Times New Roman"/>
          <w:sz w:val="24"/>
          <w:szCs w:val="24"/>
        </w:rPr>
        <w:t xml:space="preserve">(note the change in URL, although </w:t>
      </w:r>
      <w:hyperlink r:id="rId14" w:history="1">
        <w:r w:rsidR="00FA3B60" w:rsidRPr="00E32B82">
          <w:rPr>
            <w:rStyle w:val="Hyperlink"/>
            <w:rFonts w:ascii="Times New Roman" w:hAnsi="Times New Roman" w:cs="Times New Roman"/>
            <w:sz w:val="24"/>
            <w:szCs w:val="24"/>
          </w:rPr>
          <w:t>www.cpag.org.uk/david-webster</w:t>
        </w:r>
      </w:hyperlink>
      <w:r w:rsidR="00FA3B60">
        <w:rPr>
          <w:rFonts w:ascii="Times New Roman" w:hAnsi="Times New Roman" w:cs="Times New Roman"/>
          <w:sz w:val="24"/>
          <w:szCs w:val="24"/>
        </w:rPr>
        <w:t xml:space="preserve"> should also work</w:t>
      </w:r>
      <w:r w:rsidR="00F51BD7">
        <w:rPr>
          <w:rFonts w:ascii="Times New Roman" w:hAnsi="Times New Roman" w:cs="Times New Roman"/>
          <w:sz w:val="24"/>
          <w:szCs w:val="24"/>
        </w:rPr>
        <w:t>).</w:t>
      </w:r>
      <w:r w:rsidR="001962F0" w:rsidRPr="007D6546">
        <w:rPr>
          <w:rStyle w:val="EndnoteReference"/>
          <w:rFonts w:ascii="Times New Roman" w:hAnsi="Times New Roman" w:cs="Times New Roman"/>
          <w:sz w:val="24"/>
          <w:szCs w:val="24"/>
        </w:rPr>
        <w:endnoteReference w:id="1"/>
      </w:r>
      <w:r w:rsidR="001962F0">
        <w:rPr>
          <w:rFonts w:ascii="Times New Roman" w:hAnsi="Times New Roman" w:cs="Times New Roman"/>
          <w:sz w:val="24"/>
          <w:szCs w:val="24"/>
        </w:rPr>
        <w:t xml:space="preserve"> </w:t>
      </w:r>
      <w:r w:rsidR="00F51BD7">
        <w:rPr>
          <w:rFonts w:ascii="Times New Roman" w:hAnsi="Times New Roman" w:cs="Times New Roman"/>
          <w:sz w:val="24"/>
          <w:szCs w:val="24"/>
        </w:rPr>
        <w:t xml:space="preserve"> The Briefings can also be readily found through a web search.</w:t>
      </w:r>
    </w:p>
    <w:p w:rsidR="005F36B6" w:rsidRPr="00C575A0" w:rsidRDefault="005F36B6" w:rsidP="005A40B3">
      <w:pPr>
        <w:rPr>
          <w:rFonts w:ascii="Times New Roman" w:hAnsi="Times New Roman" w:cs="Times New Roman"/>
          <w:sz w:val="24"/>
          <w:szCs w:val="24"/>
        </w:rPr>
      </w:pPr>
    </w:p>
    <w:p w:rsidR="00F51BD7" w:rsidRDefault="00F51BD7" w:rsidP="00F51BD7">
      <w:pPr>
        <w:rPr>
          <w:rFonts w:ascii="Times New Roman" w:hAnsi="Times New Roman" w:cs="Times New Roman"/>
          <w:sz w:val="24"/>
          <w:szCs w:val="24"/>
        </w:rPr>
      </w:pPr>
      <w:r w:rsidRPr="001A6CA5">
        <w:rPr>
          <w:rFonts w:ascii="Times New Roman" w:hAnsi="Times New Roman" w:cs="Times New Roman"/>
          <w:b/>
          <w:sz w:val="24"/>
          <w:szCs w:val="24"/>
        </w:rPr>
        <w:t xml:space="preserve">With this release, DWP has </w:t>
      </w:r>
      <w:r w:rsidR="001A6CA5" w:rsidRPr="001A6CA5">
        <w:rPr>
          <w:rFonts w:ascii="Times New Roman" w:hAnsi="Times New Roman" w:cs="Times New Roman"/>
          <w:b/>
          <w:sz w:val="24"/>
          <w:szCs w:val="24"/>
        </w:rPr>
        <w:t xml:space="preserve">for the first time published statistics on Stat-Xplore showing the ‘levels’ of and reasons for UC sanctions for Full Service (which now covers all UC sanctions). It has also </w:t>
      </w:r>
      <w:r w:rsidRPr="001A6CA5">
        <w:rPr>
          <w:rFonts w:ascii="Times New Roman" w:hAnsi="Times New Roman" w:cs="Times New Roman"/>
          <w:b/>
          <w:sz w:val="24"/>
          <w:szCs w:val="24"/>
        </w:rPr>
        <w:t xml:space="preserve">reinstated the two suspended sets of sanctions statistics, namely the proportion of UC claimants serving a sanction at a point in time prior to April 2019, and the duration and median length of UC sanctions. </w:t>
      </w:r>
      <w:r w:rsidR="00644F2B">
        <w:rPr>
          <w:rFonts w:ascii="Times New Roman" w:hAnsi="Times New Roman" w:cs="Times New Roman"/>
          <w:sz w:val="24"/>
          <w:szCs w:val="24"/>
        </w:rPr>
        <w:t xml:space="preserve">For both </w:t>
      </w:r>
      <w:r w:rsidR="001A6CA5">
        <w:rPr>
          <w:rFonts w:ascii="Times New Roman" w:hAnsi="Times New Roman" w:cs="Times New Roman"/>
          <w:sz w:val="24"/>
          <w:szCs w:val="24"/>
        </w:rPr>
        <w:t xml:space="preserve">these latter </w:t>
      </w:r>
      <w:r w:rsidR="00644F2B">
        <w:rPr>
          <w:rFonts w:ascii="Times New Roman" w:hAnsi="Times New Roman" w:cs="Times New Roman"/>
          <w:sz w:val="24"/>
          <w:szCs w:val="24"/>
        </w:rPr>
        <w:t xml:space="preserve">sets of statistics, it has introduced new methodologies. </w:t>
      </w:r>
    </w:p>
    <w:p w:rsidR="00F51BD7" w:rsidRPr="00C575A0" w:rsidRDefault="00F51BD7" w:rsidP="00F51BD7">
      <w:pPr>
        <w:rPr>
          <w:rFonts w:ascii="Times New Roman" w:hAnsi="Times New Roman" w:cs="Times New Roman"/>
          <w:sz w:val="24"/>
          <w:szCs w:val="24"/>
        </w:rPr>
      </w:pPr>
    </w:p>
    <w:p w:rsidR="004546E6" w:rsidRPr="00C575A0" w:rsidRDefault="00450139" w:rsidP="004546E6">
      <w:pPr>
        <w:rPr>
          <w:rFonts w:ascii="Times New Roman" w:hAnsi="Times New Roman" w:cs="Times New Roman"/>
          <w:sz w:val="24"/>
          <w:szCs w:val="24"/>
        </w:rPr>
      </w:pPr>
      <w:r w:rsidRPr="00C575A0">
        <w:rPr>
          <w:rFonts w:ascii="Times New Roman" w:hAnsi="Times New Roman" w:cs="Times New Roman"/>
          <w:sz w:val="24"/>
          <w:szCs w:val="24"/>
        </w:rPr>
        <w:t xml:space="preserve">DWP </w:t>
      </w:r>
      <w:r w:rsidR="00A92B74" w:rsidRPr="00C575A0">
        <w:rPr>
          <w:rFonts w:ascii="Times New Roman" w:hAnsi="Times New Roman" w:cs="Times New Roman"/>
          <w:sz w:val="24"/>
          <w:szCs w:val="24"/>
        </w:rPr>
        <w:t>no longer</w:t>
      </w:r>
      <w:r w:rsidRPr="00C575A0">
        <w:rPr>
          <w:rFonts w:ascii="Times New Roman" w:hAnsi="Times New Roman" w:cs="Times New Roman"/>
          <w:sz w:val="24"/>
          <w:szCs w:val="24"/>
        </w:rPr>
        <w:t xml:space="preserve"> publish</w:t>
      </w:r>
      <w:r w:rsidR="00A92B74" w:rsidRPr="00C575A0">
        <w:rPr>
          <w:rFonts w:ascii="Times New Roman" w:hAnsi="Times New Roman" w:cs="Times New Roman"/>
          <w:sz w:val="24"/>
          <w:szCs w:val="24"/>
        </w:rPr>
        <w:t>es</w:t>
      </w:r>
      <w:r w:rsidRPr="00C575A0">
        <w:rPr>
          <w:rFonts w:ascii="Times New Roman" w:hAnsi="Times New Roman" w:cs="Times New Roman"/>
          <w:sz w:val="24"/>
          <w:szCs w:val="24"/>
        </w:rPr>
        <w:t xml:space="preserve"> </w:t>
      </w:r>
      <w:r w:rsidR="001B4803" w:rsidRPr="00C575A0">
        <w:rPr>
          <w:rFonts w:ascii="Times New Roman" w:hAnsi="Times New Roman" w:cs="Times New Roman"/>
          <w:sz w:val="24"/>
          <w:szCs w:val="24"/>
        </w:rPr>
        <w:t xml:space="preserve">updates to </w:t>
      </w:r>
      <w:r w:rsidRPr="00C575A0">
        <w:rPr>
          <w:rFonts w:ascii="Times New Roman" w:hAnsi="Times New Roman" w:cs="Times New Roman"/>
          <w:sz w:val="24"/>
          <w:szCs w:val="24"/>
        </w:rPr>
        <w:t>statistics on sanctions for Jobseekers Allowance (JSA), Employm</w:t>
      </w:r>
      <w:r w:rsidR="00ED097B" w:rsidRPr="00C575A0">
        <w:rPr>
          <w:rFonts w:ascii="Times New Roman" w:hAnsi="Times New Roman" w:cs="Times New Roman"/>
          <w:sz w:val="24"/>
          <w:szCs w:val="24"/>
        </w:rPr>
        <w:t>ent and Support Allowance (ESA) and</w:t>
      </w:r>
      <w:r w:rsidR="00A92B74" w:rsidRPr="00C575A0">
        <w:rPr>
          <w:rFonts w:ascii="Times New Roman" w:hAnsi="Times New Roman" w:cs="Times New Roman"/>
          <w:sz w:val="24"/>
          <w:szCs w:val="24"/>
        </w:rPr>
        <w:t xml:space="preserve"> Income Support (IS). JSA and ESA are not merely </w:t>
      </w:r>
      <w:r w:rsidR="00420462" w:rsidRPr="00C575A0">
        <w:rPr>
          <w:rFonts w:ascii="Times New Roman" w:hAnsi="Times New Roman" w:cs="Times New Roman"/>
          <w:sz w:val="24"/>
          <w:szCs w:val="24"/>
        </w:rPr>
        <w:t>‘</w:t>
      </w:r>
      <w:r w:rsidR="00A92B74" w:rsidRPr="00C575A0">
        <w:rPr>
          <w:rFonts w:ascii="Times New Roman" w:hAnsi="Times New Roman" w:cs="Times New Roman"/>
          <w:sz w:val="24"/>
          <w:szCs w:val="24"/>
        </w:rPr>
        <w:t>legacy</w:t>
      </w:r>
      <w:r w:rsidR="00420462" w:rsidRPr="00C575A0">
        <w:rPr>
          <w:rFonts w:ascii="Times New Roman" w:hAnsi="Times New Roman" w:cs="Times New Roman"/>
          <w:sz w:val="24"/>
          <w:szCs w:val="24"/>
        </w:rPr>
        <w:t>’</w:t>
      </w:r>
      <w:r w:rsidR="00A92B74" w:rsidRPr="00C575A0">
        <w:rPr>
          <w:rFonts w:ascii="Times New Roman" w:hAnsi="Times New Roman" w:cs="Times New Roman"/>
          <w:sz w:val="24"/>
          <w:szCs w:val="24"/>
        </w:rPr>
        <w:t xml:space="preserve"> benefits since there are new claimants of the ‘New Style’ </w:t>
      </w:r>
      <w:r w:rsidR="001818E6" w:rsidRPr="00C575A0">
        <w:rPr>
          <w:rFonts w:ascii="Times New Roman" w:hAnsi="Times New Roman" w:cs="Times New Roman"/>
          <w:sz w:val="24"/>
          <w:szCs w:val="24"/>
        </w:rPr>
        <w:t xml:space="preserve">(contribution-based) </w:t>
      </w:r>
      <w:r w:rsidR="00A92B74" w:rsidRPr="00C575A0">
        <w:rPr>
          <w:rFonts w:ascii="Times New Roman" w:hAnsi="Times New Roman" w:cs="Times New Roman"/>
          <w:sz w:val="24"/>
          <w:szCs w:val="24"/>
        </w:rPr>
        <w:t>versions of these benefits</w:t>
      </w:r>
      <w:r w:rsidR="00420462" w:rsidRPr="00C575A0">
        <w:rPr>
          <w:rFonts w:ascii="Times New Roman" w:hAnsi="Times New Roman" w:cs="Times New Roman"/>
          <w:sz w:val="24"/>
          <w:szCs w:val="24"/>
        </w:rPr>
        <w:t>. B</w:t>
      </w:r>
      <w:r w:rsidR="00A92B74" w:rsidRPr="00C575A0">
        <w:rPr>
          <w:rFonts w:ascii="Times New Roman" w:hAnsi="Times New Roman" w:cs="Times New Roman"/>
          <w:sz w:val="24"/>
          <w:szCs w:val="24"/>
        </w:rPr>
        <w:t xml:space="preserve">ut we will not know about any sanctions on these benefits except via Parliamentary Questions or FoI requests. There are now </w:t>
      </w:r>
      <w:r w:rsidR="004546E6" w:rsidRPr="00C575A0">
        <w:rPr>
          <w:rFonts w:ascii="Times New Roman" w:hAnsi="Times New Roman" w:cs="Times New Roman"/>
          <w:sz w:val="24"/>
          <w:szCs w:val="24"/>
        </w:rPr>
        <w:t xml:space="preserve">very few if any JSA claimants other than </w:t>
      </w:r>
      <w:r w:rsidR="00285E72" w:rsidRPr="00C575A0">
        <w:rPr>
          <w:rFonts w:ascii="Times New Roman" w:hAnsi="Times New Roman" w:cs="Times New Roman"/>
          <w:sz w:val="24"/>
          <w:szCs w:val="24"/>
        </w:rPr>
        <w:t xml:space="preserve">on </w:t>
      </w:r>
      <w:r w:rsidR="004546E6" w:rsidRPr="00C575A0">
        <w:rPr>
          <w:rFonts w:ascii="Times New Roman" w:hAnsi="Times New Roman" w:cs="Times New Roman"/>
          <w:sz w:val="24"/>
          <w:szCs w:val="24"/>
        </w:rPr>
        <w:t>New Style</w:t>
      </w:r>
      <w:r w:rsidR="00A92B74" w:rsidRPr="00C575A0">
        <w:rPr>
          <w:rFonts w:ascii="Times New Roman" w:hAnsi="Times New Roman" w:cs="Times New Roman"/>
          <w:sz w:val="24"/>
          <w:szCs w:val="24"/>
        </w:rPr>
        <w:t>.</w:t>
      </w:r>
      <w:r w:rsidR="005E23BD" w:rsidRPr="00C575A0">
        <w:rPr>
          <w:rStyle w:val="EndnoteReference"/>
          <w:rFonts w:ascii="Times New Roman" w:hAnsi="Times New Roman" w:cs="Times New Roman"/>
          <w:sz w:val="24"/>
          <w:szCs w:val="24"/>
        </w:rPr>
        <w:endnoteReference w:id="2"/>
      </w:r>
      <w:r w:rsidR="004546E6" w:rsidRPr="00C575A0">
        <w:rPr>
          <w:rFonts w:ascii="Times New Roman" w:hAnsi="Times New Roman" w:cs="Times New Roman"/>
          <w:sz w:val="24"/>
          <w:szCs w:val="24"/>
        </w:rPr>
        <w:t xml:space="preserve"> </w:t>
      </w:r>
    </w:p>
    <w:p w:rsidR="00814405" w:rsidRPr="00C575A0" w:rsidRDefault="00814405" w:rsidP="005A40B3">
      <w:pPr>
        <w:rPr>
          <w:rFonts w:ascii="Times New Roman" w:hAnsi="Times New Roman" w:cs="Times New Roman"/>
          <w:sz w:val="24"/>
          <w:szCs w:val="24"/>
        </w:rPr>
      </w:pPr>
    </w:p>
    <w:p w:rsidR="00E94BFA" w:rsidRPr="00FA3B60" w:rsidRDefault="005F36B6" w:rsidP="00F53A59">
      <w:pPr>
        <w:rPr>
          <w:rFonts w:ascii="Times New Roman" w:hAnsi="Times New Roman" w:cs="Times New Roman"/>
          <w:b/>
          <w:sz w:val="32"/>
          <w:szCs w:val="32"/>
        </w:rPr>
      </w:pPr>
      <w:r w:rsidRPr="00FA3B60">
        <w:rPr>
          <w:rFonts w:ascii="Times New Roman" w:hAnsi="Times New Roman" w:cs="Times New Roman"/>
          <w:sz w:val="24"/>
          <w:szCs w:val="24"/>
        </w:rPr>
        <w:t>The</w:t>
      </w:r>
      <w:r w:rsidR="00F51BD7" w:rsidRPr="00FA3B60">
        <w:rPr>
          <w:rFonts w:ascii="Times New Roman" w:hAnsi="Times New Roman" w:cs="Times New Roman"/>
          <w:sz w:val="24"/>
          <w:szCs w:val="24"/>
        </w:rPr>
        <w:t xml:space="preserve"> most important remaining gap is figures on the </w:t>
      </w:r>
      <w:r w:rsidR="0051156D" w:rsidRPr="00FA3B60">
        <w:rPr>
          <w:rFonts w:ascii="Times New Roman" w:hAnsi="Times New Roman" w:cs="Times New Roman"/>
          <w:sz w:val="24"/>
          <w:szCs w:val="24"/>
        </w:rPr>
        <w:t xml:space="preserve">UC </w:t>
      </w:r>
      <w:r w:rsidR="00F51BD7" w:rsidRPr="00FA3B60">
        <w:rPr>
          <w:rFonts w:ascii="Times New Roman" w:hAnsi="Times New Roman" w:cs="Times New Roman"/>
          <w:sz w:val="24"/>
          <w:szCs w:val="24"/>
        </w:rPr>
        <w:t>appeal system</w:t>
      </w:r>
      <w:r w:rsidR="00FA3B60" w:rsidRPr="00FA3B60">
        <w:rPr>
          <w:rFonts w:ascii="Times New Roman" w:hAnsi="Times New Roman" w:cs="Times New Roman"/>
          <w:sz w:val="24"/>
          <w:szCs w:val="24"/>
        </w:rPr>
        <w:t xml:space="preserve"> for Full Service, which now covers all UC claimants</w:t>
      </w:r>
      <w:r w:rsidR="00F51BD7" w:rsidRPr="00FA3B60">
        <w:rPr>
          <w:rFonts w:ascii="Times New Roman" w:hAnsi="Times New Roman" w:cs="Times New Roman"/>
          <w:sz w:val="24"/>
          <w:szCs w:val="24"/>
        </w:rPr>
        <w:t xml:space="preserve">. </w:t>
      </w:r>
      <w:r w:rsidR="00FA3B60" w:rsidRPr="00FA3B60">
        <w:rPr>
          <w:rFonts w:ascii="Times New Roman" w:hAnsi="Times New Roman" w:cs="Times New Roman"/>
          <w:sz w:val="24"/>
          <w:szCs w:val="24"/>
        </w:rPr>
        <w:t>Almost eight</w:t>
      </w:r>
      <w:r w:rsidR="0051156D" w:rsidRPr="00FA3B60">
        <w:rPr>
          <w:rFonts w:ascii="Times New Roman" w:hAnsi="Times New Roman" w:cs="Times New Roman"/>
          <w:sz w:val="24"/>
          <w:szCs w:val="24"/>
        </w:rPr>
        <w:t xml:space="preserve"> years on from the start of rollout</w:t>
      </w:r>
      <w:r w:rsidR="00FA3B60" w:rsidRPr="00FA3B60">
        <w:rPr>
          <w:rFonts w:ascii="Times New Roman" w:hAnsi="Times New Roman" w:cs="Times New Roman"/>
          <w:sz w:val="24"/>
          <w:szCs w:val="24"/>
        </w:rPr>
        <w:t xml:space="preserve"> in May 2016</w:t>
      </w:r>
      <w:r w:rsidR="00FA3B60">
        <w:rPr>
          <w:rFonts w:ascii="Times New Roman" w:hAnsi="Times New Roman" w:cs="Times New Roman"/>
          <w:sz w:val="24"/>
          <w:szCs w:val="24"/>
        </w:rPr>
        <w:t xml:space="preserve">, </w:t>
      </w:r>
      <w:r w:rsidR="00F51BD7" w:rsidRPr="00FA3B60">
        <w:rPr>
          <w:rFonts w:ascii="Times New Roman" w:hAnsi="Times New Roman" w:cs="Times New Roman"/>
          <w:sz w:val="24"/>
          <w:szCs w:val="24"/>
        </w:rPr>
        <w:t xml:space="preserve">DWP has </w:t>
      </w:r>
      <w:r w:rsidR="0051156D" w:rsidRPr="00FA3B60">
        <w:rPr>
          <w:rFonts w:ascii="Times New Roman" w:hAnsi="Times New Roman" w:cs="Times New Roman"/>
          <w:sz w:val="24"/>
          <w:szCs w:val="24"/>
        </w:rPr>
        <w:t xml:space="preserve">still </w:t>
      </w:r>
      <w:r w:rsidR="00F51BD7" w:rsidRPr="00FA3B60">
        <w:rPr>
          <w:rFonts w:ascii="Times New Roman" w:hAnsi="Times New Roman" w:cs="Times New Roman"/>
          <w:sz w:val="24"/>
          <w:szCs w:val="24"/>
        </w:rPr>
        <w:t>given no indication of when these might be published</w:t>
      </w:r>
      <w:r w:rsidR="00FA3B60">
        <w:rPr>
          <w:rFonts w:ascii="Times New Roman" w:hAnsi="Times New Roman" w:cs="Times New Roman"/>
          <w:b/>
          <w:sz w:val="32"/>
          <w:szCs w:val="32"/>
        </w:rPr>
        <w:t>.</w:t>
      </w:r>
      <w:r w:rsidR="00285E72" w:rsidRPr="00FA3B60">
        <w:rPr>
          <w:rFonts w:ascii="Times New Roman" w:hAnsi="Times New Roman" w:cs="Times New Roman"/>
          <w:b/>
          <w:sz w:val="32"/>
          <w:szCs w:val="32"/>
        </w:rPr>
        <w:t xml:space="preserve"> </w:t>
      </w:r>
    </w:p>
    <w:p w:rsidR="00420462" w:rsidRPr="008C6598" w:rsidRDefault="00420462" w:rsidP="005A40B3">
      <w:pPr>
        <w:rPr>
          <w:rFonts w:ascii="Times New Roman" w:hAnsi="Times New Roman" w:cs="Times New Roman"/>
          <w:b/>
          <w:sz w:val="32"/>
          <w:szCs w:val="32"/>
        </w:rPr>
      </w:pPr>
    </w:p>
    <w:p w:rsidR="007D608D" w:rsidRPr="008C6598" w:rsidRDefault="00587F4A" w:rsidP="005A40B3">
      <w:pPr>
        <w:rPr>
          <w:rFonts w:ascii="Times New Roman" w:hAnsi="Times New Roman" w:cs="Times New Roman"/>
          <w:b/>
          <w:sz w:val="32"/>
          <w:szCs w:val="32"/>
        </w:rPr>
      </w:pPr>
      <w:r w:rsidRPr="008C6598">
        <w:rPr>
          <w:rFonts w:ascii="Times New Roman" w:hAnsi="Times New Roman" w:cs="Times New Roman"/>
          <w:b/>
          <w:sz w:val="32"/>
          <w:szCs w:val="32"/>
        </w:rPr>
        <w:t>Number of p</w:t>
      </w:r>
      <w:r w:rsidR="007D608D" w:rsidRPr="008C6598">
        <w:rPr>
          <w:rFonts w:ascii="Times New Roman" w:hAnsi="Times New Roman" w:cs="Times New Roman"/>
          <w:b/>
          <w:sz w:val="32"/>
          <w:szCs w:val="32"/>
        </w:rPr>
        <w:t>eople on Universal Credit (UC)</w:t>
      </w:r>
      <w:r w:rsidR="00A15A19" w:rsidRPr="008C6598">
        <w:rPr>
          <w:rFonts w:ascii="Times New Roman" w:hAnsi="Times New Roman" w:cs="Times New Roman"/>
          <w:b/>
          <w:sz w:val="32"/>
          <w:szCs w:val="32"/>
        </w:rPr>
        <w:t xml:space="preserve"> and </w:t>
      </w:r>
      <w:r w:rsidR="00A87CB7" w:rsidRPr="008C6598">
        <w:rPr>
          <w:rFonts w:ascii="Times New Roman" w:hAnsi="Times New Roman" w:cs="Times New Roman"/>
          <w:b/>
          <w:sz w:val="32"/>
          <w:szCs w:val="32"/>
        </w:rPr>
        <w:t xml:space="preserve">number </w:t>
      </w:r>
      <w:r w:rsidR="00F00D15" w:rsidRPr="008C6598">
        <w:rPr>
          <w:rFonts w:ascii="Times New Roman" w:hAnsi="Times New Roman" w:cs="Times New Roman"/>
          <w:b/>
          <w:sz w:val="32"/>
          <w:szCs w:val="32"/>
        </w:rPr>
        <w:t xml:space="preserve">of UC claimants </w:t>
      </w:r>
      <w:r w:rsidR="00A87CB7" w:rsidRPr="008C6598">
        <w:rPr>
          <w:rFonts w:ascii="Times New Roman" w:hAnsi="Times New Roman" w:cs="Times New Roman"/>
          <w:b/>
          <w:sz w:val="32"/>
          <w:szCs w:val="32"/>
        </w:rPr>
        <w:t>subject to conditionality</w:t>
      </w:r>
    </w:p>
    <w:p w:rsidR="007D608D" w:rsidRPr="008C6598" w:rsidRDefault="007D608D" w:rsidP="005A40B3">
      <w:pPr>
        <w:rPr>
          <w:rFonts w:ascii="Times New Roman" w:hAnsi="Times New Roman" w:cs="Times New Roman"/>
          <w:sz w:val="24"/>
          <w:szCs w:val="24"/>
        </w:rPr>
      </w:pPr>
    </w:p>
    <w:p w:rsidR="00293465" w:rsidRPr="008C6598" w:rsidRDefault="001A5FF9" w:rsidP="005A40B3">
      <w:pPr>
        <w:rPr>
          <w:rFonts w:ascii="Times New Roman" w:hAnsi="Times New Roman" w:cs="Times New Roman"/>
          <w:sz w:val="24"/>
          <w:szCs w:val="24"/>
        </w:rPr>
      </w:pPr>
      <w:r w:rsidRPr="008C6598">
        <w:rPr>
          <w:rFonts w:ascii="Times New Roman" w:hAnsi="Times New Roman" w:cs="Times New Roman"/>
          <w:sz w:val="24"/>
          <w:szCs w:val="24"/>
        </w:rPr>
        <w:t>The t</w:t>
      </w:r>
      <w:r w:rsidR="006A1247" w:rsidRPr="008C6598">
        <w:rPr>
          <w:rFonts w:ascii="Times New Roman" w:hAnsi="Times New Roman" w:cs="Times New Roman"/>
          <w:sz w:val="24"/>
          <w:szCs w:val="24"/>
        </w:rPr>
        <w:t xml:space="preserve">otal number of people on UC </w:t>
      </w:r>
      <w:r w:rsidRPr="008C6598">
        <w:rPr>
          <w:rFonts w:ascii="Times New Roman" w:hAnsi="Times New Roman" w:cs="Times New Roman"/>
          <w:sz w:val="24"/>
          <w:szCs w:val="24"/>
        </w:rPr>
        <w:t xml:space="preserve">was a provisional </w:t>
      </w:r>
      <w:r w:rsidR="00D7754E" w:rsidRPr="008C6598">
        <w:rPr>
          <w:rFonts w:ascii="Times New Roman" w:hAnsi="Times New Roman" w:cs="Times New Roman"/>
          <w:sz w:val="24"/>
          <w:szCs w:val="24"/>
        </w:rPr>
        <w:t>6.</w:t>
      </w:r>
      <w:r w:rsidR="00E44AEE">
        <w:rPr>
          <w:rFonts w:ascii="Times New Roman" w:hAnsi="Times New Roman" w:cs="Times New Roman"/>
          <w:sz w:val="24"/>
          <w:szCs w:val="24"/>
        </w:rPr>
        <w:t>4</w:t>
      </w:r>
      <w:r w:rsidR="00795E9F" w:rsidRPr="008C6598">
        <w:rPr>
          <w:rFonts w:ascii="Times New Roman" w:hAnsi="Times New Roman" w:cs="Times New Roman"/>
          <w:sz w:val="24"/>
          <w:szCs w:val="24"/>
        </w:rPr>
        <w:t>1</w:t>
      </w:r>
      <w:r w:rsidRPr="008C6598">
        <w:rPr>
          <w:rFonts w:ascii="Times New Roman" w:hAnsi="Times New Roman" w:cs="Times New Roman"/>
          <w:sz w:val="24"/>
          <w:szCs w:val="24"/>
        </w:rPr>
        <w:t xml:space="preserve">m in </w:t>
      </w:r>
      <w:r w:rsidR="00E44AEE">
        <w:rPr>
          <w:rFonts w:ascii="Times New Roman" w:hAnsi="Times New Roman" w:cs="Times New Roman"/>
          <w:sz w:val="24"/>
          <w:szCs w:val="24"/>
        </w:rPr>
        <w:t>January 2024</w:t>
      </w:r>
      <w:r w:rsidR="0074134A" w:rsidRPr="008C6598">
        <w:rPr>
          <w:rFonts w:ascii="Times New Roman" w:hAnsi="Times New Roman" w:cs="Times New Roman"/>
          <w:sz w:val="24"/>
          <w:szCs w:val="24"/>
        </w:rPr>
        <w:t>. Within this</w:t>
      </w:r>
      <w:r w:rsidR="00184670" w:rsidRPr="008C6598">
        <w:rPr>
          <w:rFonts w:ascii="Times New Roman" w:hAnsi="Times New Roman" w:cs="Times New Roman"/>
          <w:sz w:val="24"/>
          <w:szCs w:val="24"/>
        </w:rPr>
        <w:t xml:space="preserve"> there were </w:t>
      </w:r>
      <w:r w:rsidR="0074134A" w:rsidRPr="008C6598">
        <w:rPr>
          <w:rFonts w:ascii="Times New Roman" w:hAnsi="Times New Roman" w:cs="Times New Roman"/>
          <w:sz w:val="24"/>
          <w:szCs w:val="24"/>
        </w:rPr>
        <w:t>1.</w:t>
      </w:r>
      <w:r w:rsidR="00E44AEE">
        <w:rPr>
          <w:rFonts w:ascii="Times New Roman" w:hAnsi="Times New Roman" w:cs="Times New Roman"/>
          <w:sz w:val="24"/>
          <w:szCs w:val="24"/>
        </w:rPr>
        <w:t>92</w:t>
      </w:r>
      <w:r w:rsidR="0074134A" w:rsidRPr="008C6598">
        <w:rPr>
          <w:rFonts w:ascii="Times New Roman" w:hAnsi="Times New Roman" w:cs="Times New Roman"/>
          <w:sz w:val="24"/>
          <w:szCs w:val="24"/>
        </w:rPr>
        <w:t xml:space="preserve">m </w:t>
      </w:r>
      <w:r w:rsidR="00607DBF" w:rsidRPr="008C6598">
        <w:rPr>
          <w:rFonts w:ascii="Times New Roman" w:hAnsi="Times New Roman" w:cs="Times New Roman"/>
          <w:sz w:val="24"/>
          <w:szCs w:val="24"/>
        </w:rPr>
        <w:t xml:space="preserve">UC claimants </w:t>
      </w:r>
      <w:r w:rsidR="00184670" w:rsidRPr="008C6598">
        <w:rPr>
          <w:rFonts w:ascii="Times New Roman" w:hAnsi="Times New Roman" w:cs="Times New Roman"/>
          <w:sz w:val="24"/>
          <w:szCs w:val="24"/>
        </w:rPr>
        <w:t xml:space="preserve">subject to conditionality, or </w:t>
      </w:r>
      <w:r w:rsidR="00E44AEE">
        <w:rPr>
          <w:rFonts w:ascii="Times New Roman" w:hAnsi="Times New Roman" w:cs="Times New Roman"/>
          <w:sz w:val="24"/>
          <w:szCs w:val="24"/>
        </w:rPr>
        <w:t>29.9</w:t>
      </w:r>
      <w:r w:rsidR="00184670" w:rsidRPr="008C6598">
        <w:rPr>
          <w:rFonts w:ascii="Times New Roman" w:hAnsi="Times New Roman" w:cs="Times New Roman"/>
          <w:sz w:val="24"/>
          <w:szCs w:val="24"/>
        </w:rPr>
        <w:t xml:space="preserve">% </w:t>
      </w:r>
      <w:r w:rsidR="0074134A" w:rsidRPr="008C6598">
        <w:rPr>
          <w:rFonts w:ascii="Times New Roman" w:hAnsi="Times New Roman" w:cs="Times New Roman"/>
          <w:sz w:val="24"/>
          <w:szCs w:val="24"/>
        </w:rPr>
        <w:t>of all UC claimants.</w:t>
      </w:r>
    </w:p>
    <w:p w:rsidR="00456083" w:rsidRPr="008C6598" w:rsidRDefault="00456083" w:rsidP="005A40B3">
      <w:pPr>
        <w:rPr>
          <w:rFonts w:ascii="Times New Roman" w:hAnsi="Times New Roman" w:cs="Times New Roman"/>
          <w:sz w:val="24"/>
          <w:szCs w:val="24"/>
        </w:rPr>
      </w:pPr>
    </w:p>
    <w:p w:rsidR="00456083" w:rsidRPr="008C6598" w:rsidRDefault="00456083" w:rsidP="005A40B3">
      <w:pPr>
        <w:rPr>
          <w:rFonts w:ascii="Times New Roman" w:hAnsi="Times New Roman" w:cs="Times New Roman"/>
          <w:sz w:val="24"/>
          <w:szCs w:val="24"/>
        </w:rPr>
      </w:pPr>
      <w:r w:rsidRPr="008C6598">
        <w:rPr>
          <w:rFonts w:ascii="Times New Roman" w:hAnsi="Times New Roman" w:cs="Times New Roman"/>
          <w:sz w:val="24"/>
          <w:szCs w:val="24"/>
        </w:rPr>
        <w:t xml:space="preserve">In the latest quarter there was a </w:t>
      </w:r>
      <w:r w:rsidR="00E44AEE">
        <w:rPr>
          <w:rFonts w:ascii="Times New Roman" w:hAnsi="Times New Roman" w:cs="Times New Roman"/>
          <w:sz w:val="24"/>
          <w:szCs w:val="24"/>
        </w:rPr>
        <w:t>further</w:t>
      </w:r>
      <w:r w:rsidRPr="008C6598">
        <w:rPr>
          <w:rFonts w:ascii="Times New Roman" w:hAnsi="Times New Roman" w:cs="Times New Roman"/>
          <w:sz w:val="24"/>
          <w:szCs w:val="24"/>
        </w:rPr>
        <w:t xml:space="preserve"> large provisional increase in the number of people on UC, </w:t>
      </w:r>
      <w:r w:rsidR="00E44AEE">
        <w:rPr>
          <w:rFonts w:ascii="Times New Roman" w:hAnsi="Times New Roman" w:cs="Times New Roman"/>
          <w:sz w:val="24"/>
          <w:szCs w:val="24"/>
        </w:rPr>
        <w:t>this time of 250,000.</w:t>
      </w:r>
      <w:r w:rsidRPr="008C6598">
        <w:rPr>
          <w:rFonts w:ascii="Times New Roman" w:hAnsi="Times New Roman" w:cs="Times New Roman"/>
          <w:sz w:val="24"/>
          <w:szCs w:val="24"/>
        </w:rPr>
        <w:t xml:space="preserve"> This was </w:t>
      </w:r>
      <w:r w:rsidR="00295EED">
        <w:rPr>
          <w:rFonts w:ascii="Times New Roman" w:hAnsi="Times New Roman" w:cs="Times New Roman"/>
          <w:sz w:val="24"/>
          <w:szCs w:val="24"/>
        </w:rPr>
        <w:t xml:space="preserve">again partly </w:t>
      </w:r>
      <w:r w:rsidRPr="008C6598">
        <w:rPr>
          <w:rFonts w:ascii="Times New Roman" w:hAnsi="Times New Roman" w:cs="Times New Roman"/>
          <w:sz w:val="24"/>
          <w:szCs w:val="24"/>
        </w:rPr>
        <w:t xml:space="preserve">due </w:t>
      </w:r>
      <w:r w:rsidR="000F4451">
        <w:rPr>
          <w:rFonts w:ascii="Times New Roman" w:hAnsi="Times New Roman" w:cs="Times New Roman"/>
          <w:sz w:val="24"/>
          <w:szCs w:val="24"/>
        </w:rPr>
        <w:t>to a large</w:t>
      </w:r>
      <w:r w:rsidRPr="008C6598">
        <w:rPr>
          <w:rFonts w:ascii="Times New Roman" w:hAnsi="Times New Roman" w:cs="Times New Roman"/>
          <w:sz w:val="24"/>
          <w:szCs w:val="24"/>
        </w:rPr>
        <w:t xml:space="preserve"> increase in the pace of ‘managed migration’</w:t>
      </w:r>
      <w:r w:rsidR="000F4451">
        <w:rPr>
          <w:rFonts w:ascii="Times New Roman" w:hAnsi="Times New Roman" w:cs="Times New Roman"/>
          <w:sz w:val="24"/>
          <w:szCs w:val="24"/>
        </w:rPr>
        <w:t>, with 363,100 migration notices sent in the quarter ending December 2023</w:t>
      </w:r>
      <w:r w:rsidRPr="008C6598">
        <w:rPr>
          <w:rFonts w:ascii="Times New Roman" w:hAnsi="Times New Roman" w:cs="Times New Roman"/>
          <w:sz w:val="24"/>
          <w:szCs w:val="24"/>
        </w:rPr>
        <w:t>.</w:t>
      </w:r>
      <w:r w:rsidR="00562B6E">
        <w:rPr>
          <w:rStyle w:val="EndnoteReference"/>
          <w:rFonts w:ascii="Times New Roman" w:hAnsi="Times New Roman" w:cs="Times New Roman"/>
          <w:sz w:val="24"/>
          <w:szCs w:val="24"/>
        </w:rPr>
        <w:endnoteReference w:id="3"/>
      </w:r>
      <w:r w:rsidRPr="008C6598">
        <w:rPr>
          <w:rFonts w:ascii="Times New Roman" w:hAnsi="Times New Roman" w:cs="Times New Roman"/>
          <w:sz w:val="24"/>
          <w:szCs w:val="24"/>
        </w:rPr>
        <w:t xml:space="preserve"> </w:t>
      </w:r>
      <w:r w:rsidR="007F2664">
        <w:rPr>
          <w:rFonts w:ascii="Times New Roman" w:hAnsi="Times New Roman" w:cs="Times New Roman"/>
          <w:sz w:val="24"/>
          <w:szCs w:val="24"/>
        </w:rPr>
        <w:t xml:space="preserve">These were almost exclusively to people </w:t>
      </w:r>
      <w:r w:rsidR="007F2664" w:rsidRPr="008C6598">
        <w:rPr>
          <w:rFonts w:ascii="Times New Roman" w:hAnsi="Times New Roman" w:cs="Times New Roman"/>
          <w:sz w:val="24"/>
          <w:szCs w:val="24"/>
        </w:rPr>
        <w:t>claiming Tax Credits</w:t>
      </w:r>
      <w:r w:rsidR="00FA3B60">
        <w:rPr>
          <w:rFonts w:ascii="Times New Roman" w:hAnsi="Times New Roman" w:cs="Times New Roman"/>
          <w:sz w:val="24"/>
          <w:szCs w:val="24"/>
        </w:rPr>
        <w:t xml:space="preserve"> only</w:t>
      </w:r>
      <w:r w:rsidR="007F2664" w:rsidRPr="008C6598">
        <w:rPr>
          <w:rFonts w:ascii="Times New Roman" w:hAnsi="Times New Roman" w:cs="Times New Roman"/>
          <w:sz w:val="24"/>
          <w:szCs w:val="24"/>
        </w:rPr>
        <w:t xml:space="preserve">, </w:t>
      </w:r>
      <w:r w:rsidR="007F2664">
        <w:rPr>
          <w:rFonts w:ascii="Times New Roman" w:hAnsi="Times New Roman" w:cs="Times New Roman"/>
          <w:sz w:val="24"/>
          <w:szCs w:val="24"/>
        </w:rPr>
        <w:t>reflected in an increase of 102,000 in working claimants</w:t>
      </w:r>
      <w:r w:rsidR="00FA3B60">
        <w:rPr>
          <w:rFonts w:ascii="Times New Roman" w:hAnsi="Times New Roman" w:cs="Times New Roman"/>
          <w:sz w:val="24"/>
          <w:szCs w:val="24"/>
        </w:rPr>
        <w:t xml:space="preserve"> of UC</w:t>
      </w:r>
      <w:r w:rsidR="007F2664">
        <w:rPr>
          <w:rFonts w:ascii="Times New Roman" w:hAnsi="Times New Roman" w:cs="Times New Roman"/>
          <w:sz w:val="24"/>
          <w:szCs w:val="24"/>
        </w:rPr>
        <w:t xml:space="preserve">. But there was also an increase of 103,000 in the number of </w:t>
      </w:r>
      <w:r w:rsidR="00FA3B60">
        <w:rPr>
          <w:rFonts w:ascii="Times New Roman" w:hAnsi="Times New Roman" w:cs="Times New Roman"/>
          <w:sz w:val="24"/>
          <w:szCs w:val="24"/>
        </w:rPr>
        <w:t xml:space="preserve">UC </w:t>
      </w:r>
      <w:r w:rsidR="007F2664">
        <w:rPr>
          <w:rFonts w:ascii="Times New Roman" w:hAnsi="Times New Roman" w:cs="Times New Roman"/>
          <w:sz w:val="24"/>
          <w:szCs w:val="24"/>
        </w:rPr>
        <w:t>claimants with no work requirements.</w:t>
      </w:r>
    </w:p>
    <w:p w:rsidR="008F6293" w:rsidRPr="008C6598" w:rsidRDefault="008F6293" w:rsidP="005A40B3">
      <w:pPr>
        <w:rPr>
          <w:rFonts w:ascii="Times New Roman" w:hAnsi="Times New Roman" w:cs="Times New Roman"/>
          <w:sz w:val="24"/>
          <w:szCs w:val="24"/>
        </w:rPr>
      </w:pPr>
    </w:p>
    <w:p w:rsidR="008F6293" w:rsidRPr="008C6598" w:rsidRDefault="008F6293" w:rsidP="005A40B3">
      <w:pPr>
        <w:rPr>
          <w:rFonts w:ascii="Times New Roman" w:hAnsi="Times New Roman" w:cs="Times New Roman"/>
          <w:sz w:val="24"/>
          <w:szCs w:val="24"/>
        </w:rPr>
      </w:pPr>
      <w:r w:rsidRPr="008C6598">
        <w:rPr>
          <w:rFonts w:ascii="Times New Roman" w:hAnsi="Times New Roman" w:cs="Times New Roman"/>
          <w:sz w:val="24"/>
          <w:szCs w:val="24"/>
        </w:rPr>
        <w:t>The largest group of UC claimants subject to conditionality is those ‘searching for work’, i.e. unemployed. They were 1.4</w:t>
      </w:r>
      <w:r w:rsidR="003C7474">
        <w:rPr>
          <w:rFonts w:ascii="Times New Roman" w:hAnsi="Times New Roman" w:cs="Times New Roman"/>
          <w:sz w:val="24"/>
          <w:szCs w:val="24"/>
        </w:rPr>
        <w:t>4</w:t>
      </w:r>
      <w:r w:rsidRPr="008C6598">
        <w:rPr>
          <w:rFonts w:ascii="Times New Roman" w:hAnsi="Times New Roman" w:cs="Times New Roman"/>
          <w:sz w:val="24"/>
          <w:szCs w:val="24"/>
        </w:rPr>
        <w:t xml:space="preserve">m in </w:t>
      </w:r>
      <w:r w:rsidR="003C7474">
        <w:rPr>
          <w:rFonts w:ascii="Times New Roman" w:hAnsi="Times New Roman" w:cs="Times New Roman"/>
          <w:sz w:val="24"/>
          <w:szCs w:val="24"/>
        </w:rPr>
        <w:t>January 2024</w:t>
      </w:r>
      <w:r w:rsidRPr="008C6598">
        <w:rPr>
          <w:rFonts w:ascii="Times New Roman" w:hAnsi="Times New Roman" w:cs="Times New Roman"/>
          <w:sz w:val="24"/>
          <w:szCs w:val="24"/>
        </w:rPr>
        <w:t>, accounting for 94.</w:t>
      </w:r>
      <w:r w:rsidR="003C7474">
        <w:rPr>
          <w:rFonts w:ascii="Times New Roman" w:hAnsi="Times New Roman" w:cs="Times New Roman"/>
          <w:sz w:val="24"/>
          <w:szCs w:val="24"/>
        </w:rPr>
        <w:t>0</w:t>
      </w:r>
      <w:r w:rsidRPr="008C6598">
        <w:rPr>
          <w:rFonts w:ascii="Times New Roman" w:hAnsi="Times New Roman" w:cs="Times New Roman"/>
          <w:sz w:val="24"/>
          <w:szCs w:val="24"/>
        </w:rPr>
        <w:t xml:space="preserve">% of all claimant </w:t>
      </w:r>
      <w:r w:rsidRPr="008C6598">
        <w:rPr>
          <w:rFonts w:ascii="Times New Roman" w:hAnsi="Times New Roman" w:cs="Times New Roman"/>
          <w:sz w:val="24"/>
          <w:szCs w:val="24"/>
        </w:rPr>
        <w:lastRenderedPageBreak/>
        <w:t>unemployed</w:t>
      </w:r>
      <w:r w:rsidR="00FA3B60">
        <w:rPr>
          <w:rFonts w:ascii="Times New Roman" w:hAnsi="Times New Roman" w:cs="Times New Roman"/>
          <w:sz w:val="24"/>
          <w:szCs w:val="24"/>
        </w:rPr>
        <w:t>. T</w:t>
      </w:r>
      <w:r w:rsidRPr="008C6598">
        <w:rPr>
          <w:rFonts w:ascii="Times New Roman" w:hAnsi="Times New Roman" w:cs="Times New Roman"/>
          <w:sz w:val="24"/>
          <w:szCs w:val="24"/>
        </w:rPr>
        <w:t xml:space="preserve">he other </w:t>
      </w:r>
      <w:r w:rsidR="003C7474">
        <w:rPr>
          <w:rFonts w:ascii="Times New Roman" w:hAnsi="Times New Roman" w:cs="Times New Roman"/>
          <w:sz w:val="24"/>
          <w:szCs w:val="24"/>
        </w:rPr>
        <w:t>6.0</w:t>
      </w:r>
      <w:r w:rsidRPr="008C6598">
        <w:rPr>
          <w:rFonts w:ascii="Times New Roman" w:hAnsi="Times New Roman" w:cs="Times New Roman"/>
          <w:sz w:val="24"/>
          <w:szCs w:val="24"/>
        </w:rPr>
        <w:t xml:space="preserve">% of the claimant unemployed were the </w:t>
      </w:r>
      <w:r w:rsidR="003C7474">
        <w:rPr>
          <w:rFonts w:ascii="Times New Roman" w:hAnsi="Times New Roman" w:cs="Times New Roman"/>
          <w:sz w:val="24"/>
          <w:szCs w:val="24"/>
        </w:rPr>
        <w:t>92,531</w:t>
      </w:r>
      <w:r w:rsidRPr="008C6598">
        <w:rPr>
          <w:rFonts w:ascii="Times New Roman" w:hAnsi="Times New Roman" w:cs="Times New Roman"/>
          <w:sz w:val="24"/>
          <w:szCs w:val="24"/>
        </w:rPr>
        <w:t xml:space="preserve"> claimants on JSA</w:t>
      </w:r>
      <w:r w:rsidR="00FA3B60">
        <w:rPr>
          <w:rFonts w:ascii="Times New Roman" w:hAnsi="Times New Roman" w:cs="Times New Roman"/>
          <w:sz w:val="24"/>
          <w:szCs w:val="24"/>
        </w:rPr>
        <w:t>, almost all of whom will have been claiming the ‘New Style’ contribution based JSA</w:t>
      </w:r>
      <w:r w:rsidRPr="008C6598">
        <w:rPr>
          <w:rFonts w:ascii="Times New Roman" w:hAnsi="Times New Roman" w:cs="Times New Roman"/>
          <w:sz w:val="24"/>
          <w:szCs w:val="24"/>
        </w:rPr>
        <w:t>.</w:t>
      </w:r>
    </w:p>
    <w:p w:rsidR="00153EA4" w:rsidRDefault="00153EA4" w:rsidP="00647271">
      <w:pPr>
        <w:rPr>
          <w:rFonts w:ascii="Times New Roman" w:hAnsi="Times New Roman" w:cs="Times New Roman"/>
          <w:b/>
          <w:sz w:val="32"/>
          <w:szCs w:val="32"/>
        </w:rPr>
      </w:pPr>
    </w:p>
    <w:p w:rsidR="00647271" w:rsidRPr="00647271" w:rsidRDefault="00647271" w:rsidP="00647271">
      <w:pPr>
        <w:rPr>
          <w:rFonts w:ascii="Times New Roman" w:hAnsi="Times New Roman" w:cs="Times New Roman"/>
          <w:b/>
          <w:sz w:val="32"/>
          <w:szCs w:val="32"/>
        </w:rPr>
      </w:pPr>
      <w:r w:rsidRPr="00647271">
        <w:rPr>
          <w:rFonts w:ascii="Times New Roman" w:hAnsi="Times New Roman" w:cs="Times New Roman"/>
          <w:b/>
          <w:sz w:val="32"/>
          <w:szCs w:val="32"/>
        </w:rPr>
        <w:t xml:space="preserve">Total claimants on all benefits subject to conditionality </w:t>
      </w:r>
    </w:p>
    <w:p w:rsidR="00647271" w:rsidRPr="00647271" w:rsidRDefault="00647271" w:rsidP="00647271">
      <w:pPr>
        <w:rPr>
          <w:rFonts w:ascii="Times New Roman" w:hAnsi="Times New Roman" w:cs="Times New Roman"/>
          <w:sz w:val="24"/>
          <w:szCs w:val="24"/>
        </w:rPr>
      </w:pPr>
    </w:p>
    <w:p w:rsidR="00647271" w:rsidRPr="00647271" w:rsidRDefault="00647271" w:rsidP="00647271">
      <w:pPr>
        <w:rPr>
          <w:rFonts w:ascii="Times New Roman" w:hAnsi="Times New Roman" w:cs="Times New Roman"/>
          <w:sz w:val="24"/>
          <w:szCs w:val="24"/>
        </w:rPr>
      </w:pPr>
      <w:r w:rsidRPr="00647271">
        <w:rPr>
          <w:rFonts w:ascii="Times New Roman" w:hAnsi="Times New Roman" w:cs="Times New Roman"/>
          <w:sz w:val="24"/>
          <w:szCs w:val="24"/>
        </w:rPr>
        <w:t xml:space="preserve">Reporting on legacy benefits is less up-to-date than on UC. At </w:t>
      </w:r>
      <w:r w:rsidR="00314F8D">
        <w:rPr>
          <w:rFonts w:ascii="Times New Roman" w:hAnsi="Times New Roman" w:cs="Times New Roman"/>
          <w:sz w:val="24"/>
          <w:szCs w:val="24"/>
        </w:rPr>
        <w:t>October</w:t>
      </w:r>
      <w:r w:rsidRPr="00647271">
        <w:rPr>
          <w:rFonts w:ascii="Times New Roman" w:hAnsi="Times New Roman" w:cs="Times New Roman"/>
          <w:sz w:val="24"/>
          <w:szCs w:val="24"/>
        </w:rPr>
        <w:t xml:space="preserve"> 2023 there were still an estimated 388,000 claimants on the legacy benefits subject to conditionality, comprising 15</w:t>
      </w:r>
      <w:r w:rsidR="00314F8D">
        <w:rPr>
          <w:rFonts w:ascii="Times New Roman" w:hAnsi="Times New Roman" w:cs="Times New Roman"/>
          <w:sz w:val="24"/>
          <w:szCs w:val="24"/>
        </w:rPr>
        <w:t>5</w:t>
      </w:r>
      <w:r w:rsidRPr="00647271">
        <w:rPr>
          <w:rFonts w:ascii="Times New Roman" w:hAnsi="Times New Roman" w:cs="Times New Roman"/>
          <w:sz w:val="24"/>
          <w:szCs w:val="24"/>
        </w:rPr>
        <w:t>,000 in the ESA Work Related Activity Group, 12</w:t>
      </w:r>
      <w:r w:rsidR="00314F8D">
        <w:rPr>
          <w:rFonts w:ascii="Times New Roman" w:hAnsi="Times New Roman" w:cs="Times New Roman"/>
          <w:sz w:val="24"/>
          <w:szCs w:val="24"/>
        </w:rPr>
        <w:t>3</w:t>
      </w:r>
      <w:r w:rsidRPr="00647271">
        <w:rPr>
          <w:rFonts w:ascii="Times New Roman" w:hAnsi="Times New Roman" w:cs="Times New Roman"/>
          <w:sz w:val="24"/>
          <w:szCs w:val="24"/>
        </w:rPr>
        <w:t>,000 on Income Support and 89,000 on JSA. Added to the 1.8</w:t>
      </w:r>
      <w:r w:rsidR="00314F8D">
        <w:rPr>
          <w:rFonts w:ascii="Times New Roman" w:hAnsi="Times New Roman" w:cs="Times New Roman"/>
          <w:sz w:val="24"/>
          <w:szCs w:val="24"/>
        </w:rPr>
        <w:t>7</w:t>
      </w:r>
      <w:r w:rsidRPr="00647271">
        <w:rPr>
          <w:rFonts w:ascii="Times New Roman" w:hAnsi="Times New Roman" w:cs="Times New Roman"/>
          <w:sz w:val="24"/>
          <w:szCs w:val="24"/>
        </w:rPr>
        <w:t>m UC claimants subject to conditionality at that date, there were therefore an estimated total of 2.2</w:t>
      </w:r>
      <w:r w:rsidR="00314F8D">
        <w:rPr>
          <w:rFonts w:ascii="Times New Roman" w:hAnsi="Times New Roman" w:cs="Times New Roman"/>
          <w:sz w:val="24"/>
          <w:szCs w:val="24"/>
        </w:rPr>
        <w:t>4</w:t>
      </w:r>
      <w:r w:rsidRPr="00647271">
        <w:rPr>
          <w:rFonts w:ascii="Times New Roman" w:hAnsi="Times New Roman" w:cs="Times New Roman"/>
          <w:sz w:val="24"/>
          <w:szCs w:val="24"/>
        </w:rPr>
        <w:t xml:space="preserve">m claimants on all benefits subject to conditionality.  </w:t>
      </w:r>
    </w:p>
    <w:p w:rsidR="00647271" w:rsidRPr="00647271" w:rsidRDefault="00647271" w:rsidP="00647271">
      <w:pPr>
        <w:rPr>
          <w:rFonts w:ascii="Times New Roman" w:hAnsi="Times New Roman" w:cs="Times New Roman"/>
          <w:sz w:val="24"/>
          <w:szCs w:val="24"/>
        </w:rPr>
      </w:pPr>
    </w:p>
    <w:p w:rsidR="00572091" w:rsidRPr="00572091" w:rsidRDefault="000F0C78" w:rsidP="005A40B3">
      <w:pPr>
        <w:rPr>
          <w:rFonts w:ascii="Times New Roman" w:hAnsi="Times New Roman" w:cs="Times New Roman"/>
          <w:b/>
          <w:sz w:val="32"/>
          <w:szCs w:val="32"/>
        </w:rPr>
      </w:pPr>
      <w:r>
        <w:rPr>
          <w:rFonts w:ascii="Times New Roman" w:hAnsi="Times New Roman" w:cs="Times New Roman"/>
          <w:b/>
          <w:sz w:val="32"/>
          <w:szCs w:val="32"/>
        </w:rPr>
        <w:t>R</w:t>
      </w:r>
      <w:r w:rsidR="00572091" w:rsidRPr="00572091">
        <w:rPr>
          <w:rFonts w:ascii="Times New Roman" w:hAnsi="Times New Roman" w:cs="Times New Roman"/>
          <w:b/>
          <w:sz w:val="32"/>
          <w:szCs w:val="32"/>
        </w:rPr>
        <w:t>aising of the Administrative Earnings Threshold (AET)</w:t>
      </w:r>
      <w:r w:rsidR="00945C78">
        <w:rPr>
          <w:rFonts w:ascii="Times New Roman" w:hAnsi="Times New Roman" w:cs="Times New Roman"/>
          <w:b/>
          <w:sz w:val="32"/>
          <w:szCs w:val="32"/>
        </w:rPr>
        <w:t xml:space="preserve"> and in-work conditionality</w:t>
      </w:r>
    </w:p>
    <w:p w:rsidR="00572091" w:rsidRDefault="00572091" w:rsidP="005A40B3">
      <w:pPr>
        <w:rPr>
          <w:rFonts w:ascii="Times New Roman" w:hAnsi="Times New Roman" w:cs="Times New Roman"/>
          <w:sz w:val="24"/>
          <w:szCs w:val="24"/>
        </w:rPr>
      </w:pPr>
    </w:p>
    <w:p w:rsidR="00C27DA5" w:rsidRDefault="00153EA4" w:rsidP="005A40B3">
      <w:pPr>
        <w:rPr>
          <w:rFonts w:ascii="Times New Roman" w:hAnsi="Times New Roman" w:cs="Times New Roman"/>
          <w:b/>
          <w:sz w:val="32"/>
          <w:szCs w:val="32"/>
        </w:rPr>
      </w:pPr>
      <w:proofErr w:type="gramStart"/>
      <w:r>
        <w:rPr>
          <w:rFonts w:ascii="Times New Roman" w:hAnsi="Times New Roman" w:cs="Times New Roman"/>
          <w:sz w:val="24"/>
          <w:szCs w:val="24"/>
        </w:rPr>
        <w:t>Raising</w:t>
      </w:r>
      <w:proofErr w:type="gramEnd"/>
      <w:r>
        <w:rPr>
          <w:rFonts w:ascii="Times New Roman" w:hAnsi="Times New Roman" w:cs="Times New Roman"/>
          <w:sz w:val="24"/>
          <w:szCs w:val="24"/>
        </w:rPr>
        <w:t xml:space="preserve"> of the AET</w:t>
      </w:r>
      <w:r w:rsidR="008C6598">
        <w:rPr>
          <w:rFonts w:ascii="Times New Roman" w:hAnsi="Times New Roman" w:cs="Times New Roman"/>
          <w:sz w:val="24"/>
          <w:szCs w:val="24"/>
        </w:rPr>
        <w:t xml:space="preserve"> was considered in the May </w:t>
      </w:r>
      <w:r w:rsidR="0057650F">
        <w:rPr>
          <w:rFonts w:ascii="Times New Roman" w:hAnsi="Times New Roman" w:cs="Times New Roman"/>
          <w:sz w:val="24"/>
          <w:szCs w:val="24"/>
        </w:rPr>
        <w:t xml:space="preserve">2023 </w:t>
      </w:r>
      <w:r w:rsidR="008C6598">
        <w:rPr>
          <w:rFonts w:ascii="Times New Roman" w:hAnsi="Times New Roman" w:cs="Times New Roman"/>
          <w:sz w:val="24"/>
          <w:szCs w:val="24"/>
        </w:rPr>
        <w:t xml:space="preserve">Briefing, pp.3-4 and Figure 1, and in the August 2023 Briefing, p.4 and Figure 1. </w:t>
      </w:r>
      <w:r w:rsidR="000F0C78">
        <w:rPr>
          <w:rFonts w:ascii="Times New Roman" w:hAnsi="Times New Roman" w:cs="Times New Roman"/>
          <w:sz w:val="24"/>
          <w:szCs w:val="24"/>
        </w:rPr>
        <w:t>There does not seem to have been any date announced for the</w:t>
      </w:r>
      <w:r>
        <w:rPr>
          <w:rFonts w:ascii="Times New Roman" w:hAnsi="Times New Roman" w:cs="Times New Roman"/>
          <w:sz w:val="24"/>
          <w:szCs w:val="24"/>
        </w:rPr>
        <w:t xml:space="preserve"> </w:t>
      </w:r>
      <w:r w:rsidR="00003DE3" w:rsidRPr="00195173">
        <w:rPr>
          <w:rFonts w:ascii="Times New Roman" w:hAnsi="Times New Roman" w:cs="Times New Roman"/>
          <w:sz w:val="24"/>
          <w:szCs w:val="24"/>
        </w:rPr>
        <w:t xml:space="preserve">further planned rise in the </w:t>
      </w:r>
      <w:r w:rsidR="008F6293" w:rsidRPr="00195173">
        <w:rPr>
          <w:rFonts w:ascii="Times New Roman" w:hAnsi="Times New Roman" w:cs="Times New Roman"/>
          <w:sz w:val="24"/>
          <w:szCs w:val="24"/>
        </w:rPr>
        <w:t>A</w:t>
      </w:r>
      <w:r w:rsidR="00003DE3" w:rsidRPr="00195173">
        <w:rPr>
          <w:rFonts w:ascii="Times New Roman" w:hAnsi="Times New Roman" w:cs="Times New Roman"/>
          <w:sz w:val="24"/>
          <w:szCs w:val="24"/>
        </w:rPr>
        <w:t>ET to 18 hours</w:t>
      </w:r>
      <w:r w:rsidR="00195173" w:rsidRPr="00195173">
        <w:rPr>
          <w:rFonts w:ascii="Times New Roman" w:hAnsi="Times New Roman" w:cs="Times New Roman"/>
          <w:sz w:val="24"/>
          <w:szCs w:val="24"/>
        </w:rPr>
        <w:t>.</w:t>
      </w:r>
      <w:r w:rsidR="00945C78">
        <w:rPr>
          <w:rFonts w:ascii="Times New Roman" w:hAnsi="Times New Roman" w:cs="Times New Roman"/>
          <w:sz w:val="24"/>
          <w:szCs w:val="24"/>
        </w:rPr>
        <w:t xml:space="preserve"> Nor has a date been given for the commencement of in-work conditionality, other than that </w:t>
      </w:r>
      <w:r>
        <w:rPr>
          <w:rFonts w:ascii="Times New Roman" w:hAnsi="Times New Roman" w:cs="Times New Roman"/>
          <w:sz w:val="24"/>
          <w:szCs w:val="24"/>
        </w:rPr>
        <w:t xml:space="preserve">it </w:t>
      </w:r>
      <w:r w:rsidR="00945C78">
        <w:rPr>
          <w:rFonts w:ascii="Times New Roman" w:hAnsi="Times New Roman" w:cs="Times New Roman"/>
          <w:sz w:val="24"/>
          <w:szCs w:val="24"/>
        </w:rPr>
        <w:t xml:space="preserve">is intended for some time in 2024 (Parliamentary answer 13 October 2023). </w:t>
      </w:r>
    </w:p>
    <w:p w:rsidR="00153EA4" w:rsidRDefault="00153EA4" w:rsidP="005A40B3">
      <w:pPr>
        <w:rPr>
          <w:rFonts w:ascii="Times New Roman" w:hAnsi="Times New Roman" w:cs="Times New Roman"/>
          <w:b/>
          <w:sz w:val="32"/>
          <w:szCs w:val="32"/>
        </w:rPr>
      </w:pPr>
    </w:p>
    <w:p w:rsidR="007008E1" w:rsidRPr="00501599" w:rsidRDefault="0087788A" w:rsidP="005A40B3">
      <w:pPr>
        <w:rPr>
          <w:rFonts w:ascii="Times New Roman" w:hAnsi="Times New Roman" w:cs="Times New Roman"/>
          <w:b/>
          <w:sz w:val="32"/>
          <w:szCs w:val="32"/>
        </w:rPr>
      </w:pPr>
      <w:r w:rsidRPr="00501599">
        <w:rPr>
          <w:rFonts w:ascii="Times New Roman" w:hAnsi="Times New Roman" w:cs="Times New Roman"/>
          <w:b/>
          <w:sz w:val="32"/>
          <w:szCs w:val="32"/>
        </w:rPr>
        <w:t xml:space="preserve">The monthly number of </w:t>
      </w:r>
      <w:r w:rsidR="004A149A" w:rsidRPr="00501599">
        <w:rPr>
          <w:rFonts w:ascii="Times New Roman" w:hAnsi="Times New Roman" w:cs="Times New Roman"/>
          <w:b/>
          <w:sz w:val="32"/>
          <w:szCs w:val="32"/>
        </w:rPr>
        <w:t xml:space="preserve">Universal Credit sanctions </w:t>
      </w:r>
      <w:r w:rsidR="00FA5CAC" w:rsidRPr="00501599">
        <w:rPr>
          <w:rFonts w:ascii="Times New Roman" w:hAnsi="Times New Roman" w:cs="Times New Roman"/>
          <w:b/>
          <w:sz w:val="32"/>
          <w:szCs w:val="32"/>
        </w:rPr>
        <w:t>ha</w:t>
      </w:r>
      <w:r w:rsidR="00220501" w:rsidRPr="00501599">
        <w:rPr>
          <w:rFonts w:ascii="Times New Roman" w:hAnsi="Times New Roman" w:cs="Times New Roman"/>
          <w:b/>
          <w:sz w:val="32"/>
          <w:szCs w:val="32"/>
        </w:rPr>
        <w:t>s</w:t>
      </w:r>
      <w:r w:rsidR="00FA5CAC" w:rsidRPr="00501599">
        <w:rPr>
          <w:rFonts w:ascii="Times New Roman" w:hAnsi="Times New Roman" w:cs="Times New Roman"/>
          <w:b/>
          <w:sz w:val="32"/>
          <w:szCs w:val="32"/>
        </w:rPr>
        <w:t xml:space="preserve"> </w:t>
      </w:r>
      <w:r w:rsidR="00B92B91" w:rsidRPr="00501599">
        <w:rPr>
          <w:rFonts w:ascii="Times New Roman" w:hAnsi="Times New Roman" w:cs="Times New Roman"/>
          <w:b/>
          <w:sz w:val="32"/>
          <w:szCs w:val="32"/>
        </w:rPr>
        <w:t>stabilis</w:t>
      </w:r>
      <w:r w:rsidR="00A34B8D" w:rsidRPr="00501599">
        <w:rPr>
          <w:rFonts w:ascii="Times New Roman" w:hAnsi="Times New Roman" w:cs="Times New Roman"/>
          <w:b/>
          <w:sz w:val="32"/>
          <w:szCs w:val="32"/>
        </w:rPr>
        <w:t>ed</w:t>
      </w:r>
      <w:r w:rsidR="005C40BA" w:rsidRPr="00501599">
        <w:rPr>
          <w:rFonts w:ascii="Times New Roman" w:hAnsi="Times New Roman" w:cs="Times New Roman"/>
          <w:b/>
          <w:sz w:val="32"/>
          <w:szCs w:val="32"/>
        </w:rPr>
        <w:t xml:space="preserve"> at a high level</w:t>
      </w:r>
      <w:r w:rsidR="004B6913" w:rsidRPr="00501599">
        <w:rPr>
          <w:rFonts w:ascii="Times New Roman" w:hAnsi="Times New Roman" w:cs="Times New Roman"/>
          <w:b/>
          <w:sz w:val="32"/>
          <w:szCs w:val="32"/>
        </w:rPr>
        <w:t>, with a slight uptick in the latest quarter</w:t>
      </w:r>
    </w:p>
    <w:p w:rsidR="00A34B8D" w:rsidRPr="00501599" w:rsidRDefault="00A34B8D" w:rsidP="005A40B3">
      <w:pPr>
        <w:rPr>
          <w:rFonts w:ascii="Times New Roman" w:hAnsi="Times New Roman" w:cs="Times New Roman"/>
          <w:sz w:val="24"/>
          <w:szCs w:val="24"/>
        </w:rPr>
      </w:pPr>
    </w:p>
    <w:p w:rsidR="00767B5F" w:rsidRDefault="00767B5F" w:rsidP="005A40B3">
      <w:pPr>
        <w:rPr>
          <w:rFonts w:ascii="Times New Roman" w:hAnsi="Times New Roman" w:cs="Times New Roman"/>
          <w:sz w:val="24"/>
          <w:szCs w:val="24"/>
        </w:rPr>
      </w:pPr>
      <w:r>
        <w:rPr>
          <w:rFonts w:ascii="Times New Roman" w:hAnsi="Times New Roman" w:cs="Times New Roman"/>
          <w:sz w:val="24"/>
          <w:szCs w:val="24"/>
        </w:rPr>
        <w:t>Th</w:t>
      </w:r>
      <w:r w:rsidR="00153EA4">
        <w:rPr>
          <w:rFonts w:ascii="Times New Roman" w:hAnsi="Times New Roman" w:cs="Times New Roman"/>
          <w:sz w:val="24"/>
          <w:szCs w:val="24"/>
        </w:rPr>
        <w:t>e monthly number of sanctions imposed, and this number as a percentage of claimants subject to conditionality, are</w:t>
      </w:r>
      <w:r>
        <w:rPr>
          <w:rFonts w:ascii="Times New Roman" w:hAnsi="Times New Roman" w:cs="Times New Roman"/>
          <w:sz w:val="24"/>
          <w:szCs w:val="24"/>
        </w:rPr>
        <w:t xml:space="preserve"> the most robust measure</w:t>
      </w:r>
      <w:r w:rsidR="00153EA4">
        <w:rPr>
          <w:rFonts w:ascii="Times New Roman" w:hAnsi="Times New Roman" w:cs="Times New Roman"/>
          <w:sz w:val="24"/>
          <w:szCs w:val="24"/>
        </w:rPr>
        <w:t>s</w:t>
      </w:r>
      <w:r>
        <w:rPr>
          <w:rFonts w:ascii="Times New Roman" w:hAnsi="Times New Roman" w:cs="Times New Roman"/>
          <w:sz w:val="24"/>
          <w:szCs w:val="24"/>
        </w:rPr>
        <w:t xml:space="preserve"> of the scale of sanctioning. </w:t>
      </w:r>
    </w:p>
    <w:p w:rsidR="00767B5F" w:rsidRDefault="00767B5F" w:rsidP="005A40B3">
      <w:pPr>
        <w:rPr>
          <w:rFonts w:ascii="Times New Roman" w:hAnsi="Times New Roman" w:cs="Times New Roman"/>
          <w:sz w:val="24"/>
          <w:szCs w:val="24"/>
        </w:rPr>
      </w:pPr>
    </w:p>
    <w:p w:rsidR="00A34B8D" w:rsidRPr="00501599" w:rsidRDefault="00F82929" w:rsidP="005A40B3">
      <w:pPr>
        <w:rPr>
          <w:rFonts w:ascii="Times New Roman" w:hAnsi="Times New Roman" w:cs="Times New Roman"/>
          <w:sz w:val="24"/>
          <w:szCs w:val="24"/>
        </w:rPr>
      </w:pPr>
      <w:r>
        <w:rPr>
          <w:rFonts w:ascii="Times New Roman" w:hAnsi="Times New Roman" w:cs="Times New Roman"/>
          <w:sz w:val="24"/>
          <w:szCs w:val="24"/>
        </w:rPr>
        <w:t xml:space="preserve">There has been a slight uptick in UC sanctions imposed in the latest quarter, both in absolute terms and as a proportion of claimants subject to conditionality, but the general pattern is unchanged. </w:t>
      </w:r>
      <w:r w:rsidR="00B92B91" w:rsidRPr="00501599">
        <w:rPr>
          <w:rFonts w:ascii="Times New Roman" w:hAnsi="Times New Roman" w:cs="Times New Roman"/>
          <w:sz w:val="24"/>
          <w:szCs w:val="24"/>
        </w:rPr>
        <w:t xml:space="preserve">After rising rapidly and continuously following the pandemic, </w:t>
      </w:r>
      <w:r w:rsidR="001D7076" w:rsidRPr="00501599">
        <w:rPr>
          <w:rFonts w:ascii="Times New Roman" w:hAnsi="Times New Roman" w:cs="Times New Roman"/>
          <w:sz w:val="24"/>
          <w:szCs w:val="24"/>
        </w:rPr>
        <w:t xml:space="preserve">monthly </w:t>
      </w:r>
      <w:r w:rsidR="00A34B8D" w:rsidRPr="00501599">
        <w:rPr>
          <w:rFonts w:ascii="Times New Roman" w:hAnsi="Times New Roman" w:cs="Times New Roman"/>
          <w:sz w:val="24"/>
          <w:szCs w:val="24"/>
        </w:rPr>
        <w:t xml:space="preserve">UC sanctions have </w:t>
      </w:r>
      <w:r w:rsidR="002A10FD" w:rsidRPr="00501599">
        <w:rPr>
          <w:rFonts w:ascii="Times New Roman" w:hAnsi="Times New Roman" w:cs="Times New Roman"/>
          <w:sz w:val="24"/>
          <w:szCs w:val="24"/>
        </w:rPr>
        <w:t>more or less</w:t>
      </w:r>
      <w:r w:rsidR="00E11611" w:rsidRPr="00501599">
        <w:rPr>
          <w:rFonts w:ascii="Times New Roman" w:hAnsi="Times New Roman" w:cs="Times New Roman"/>
          <w:sz w:val="24"/>
          <w:szCs w:val="24"/>
        </w:rPr>
        <w:t xml:space="preserve"> </w:t>
      </w:r>
      <w:r w:rsidR="00B92B91" w:rsidRPr="00501599">
        <w:rPr>
          <w:rFonts w:ascii="Times New Roman" w:hAnsi="Times New Roman" w:cs="Times New Roman"/>
          <w:sz w:val="24"/>
          <w:szCs w:val="24"/>
        </w:rPr>
        <w:t>stabilis</w:t>
      </w:r>
      <w:r w:rsidR="00A34B8D" w:rsidRPr="00501599">
        <w:rPr>
          <w:rFonts w:ascii="Times New Roman" w:hAnsi="Times New Roman" w:cs="Times New Roman"/>
          <w:sz w:val="24"/>
          <w:szCs w:val="24"/>
        </w:rPr>
        <w:t>ed</w:t>
      </w:r>
      <w:r w:rsidR="00522DD2">
        <w:rPr>
          <w:rFonts w:ascii="Times New Roman" w:hAnsi="Times New Roman" w:cs="Times New Roman"/>
          <w:sz w:val="24"/>
          <w:szCs w:val="24"/>
        </w:rPr>
        <w:t xml:space="preserve"> at a higher level than</w:t>
      </w:r>
      <w:r w:rsidR="00796116" w:rsidRPr="00501599">
        <w:rPr>
          <w:rFonts w:ascii="Times New Roman" w:hAnsi="Times New Roman" w:cs="Times New Roman"/>
          <w:sz w:val="24"/>
          <w:szCs w:val="24"/>
        </w:rPr>
        <w:t xml:space="preserve"> before the pandemic</w:t>
      </w:r>
      <w:r w:rsidR="00A34B8D" w:rsidRPr="00501599">
        <w:rPr>
          <w:rFonts w:ascii="Times New Roman" w:hAnsi="Times New Roman" w:cs="Times New Roman"/>
          <w:sz w:val="24"/>
          <w:szCs w:val="24"/>
        </w:rPr>
        <w:t xml:space="preserve">. </w:t>
      </w:r>
    </w:p>
    <w:p w:rsidR="00A34B8D" w:rsidRPr="00501599" w:rsidRDefault="00A34B8D" w:rsidP="005A40B3">
      <w:pPr>
        <w:rPr>
          <w:rFonts w:ascii="Times New Roman" w:hAnsi="Times New Roman" w:cs="Times New Roman"/>
          <w:sz w:val="24"/>
          <w:szCs w:val="24"/>
        </w:rPr>
      </w:pPr>
    </w:p>
    <w:p w:rsidR="009276B2" w:rsidRPr="00501599" w:rsidRDefault="009276B2" w:rsidP="005A40B3">
      <w:pPr>
        <w:rPr>
          <w:rFonts w:ascii="Times New Roman" w:hAnsi="Times New Roman" w:cs="Times New Roman"/>
          <w:b/>
          <w:i/>
          <w:sz w:val="24"/>
          <w:szCs w:val="24"/>
        </w:rPr>
      </w:pPr>
      <w:r w:rsidRPr="00501599">
        <w:rPr>
          <w:rFonts w:ascii="Times New Roman" w:hAnsi="Times New Roman" w:cs="Times New Roman"/>
          <w:b/>
          <w:i/>
          <w:sz w:val="24"/>
          <w:szCs w:val="24"/>
        </w:rPr>
        <w:t>Number of UC sanctions being imposed per month</w:t>
      </w:r>
    </w:p>
    <w:p w:rsidR="009276B2" w:rsidRPr="00501599" w:rsidRDefault="009276B2" w:rsidP="005A40B3">
      <w:pPr>
        <w:rPr>
          <w:rFonts w:ascii="Times New Roman" w:hAnsi="Times New Roman" w:cs="Times New Roman"/>
          <w:b/>
          <w:i/>
          <w:sz w:val="24"/>
          <w:szCs w:val="24"/>
        </w:rPr>
      </w:pPr>
    </w:p>
    <w:p w:rsidR="00796116" w:rsidRPr="00501599" w:rsidRDefault="00A34B8D" w:rsidP="005A40B3">
      <w:pPr>
        <w:rPr>
          <w:rFonts w:ascii="Times New Roman" w:hAnsi="Times New Roman" w:cs="Times New Roman"/>
          <w:sz w:val="24"/>
          <w:szCs w:val="24"/>
        </w:rPr>
      </w:pPr>
      <w:r w:rsidRPr="00501599">
        <w:rPr>
          <w:rFonts w:ascii="Times New Roman" w:hAnsi="Times New Roman" w:cs="Times New Roman"/>
          <w:sz w:val="24"/>
          <w:szCs w:val="24"/>
        </w:rPr>
        <w:t xml:space="preserve">Monthly </w:t>
      </w:r>
      <w:r w:rsidR="009276B2" w:rsidRPr="00501599">
        <w:rPr>
          <w:rFonts w:ascii="Times New Roman" w:hAnsi="Times New Roman" w:cs="Times New Roman"/>
          <w:sz w:val="24"/>
          <w:szCs w:val="24"/>
        </w:rPr>
        <w:t xml:space="preserve">UC sanctions </w:t>
      </w:r>
      <w:r w:rsidRPr="00501599">
        <w:rPr>
          <w:rFonts w:ascii="Times New Roman" w:hAnsi="Times New Roman" w:cs="Times New Roman"/>
          <w:sz w:val="24"/>
          <w:szCs w:val="24"/>
        </w:rPr>
        <w:t>reached a peak of 58,5</w:t>
      </w:r>
      <w:r w:rsidR="00F82929">
        <w:rPr>
          <w:rFonts w:ascii="Times New Roman" w:hAnsi="Times New Roman" w:cs="Times New Roman"/>
          <w:sz w:val="24"/>
          <w:szCs w:val="24"/>
        </w:rPr>
        <w:t>15</w:t>
      </w:r>
      <w:r w:rsidRPr="00501599">
        <w:rPr>
          <w:rFonts w:ascii="Times New Roman" w:hAnsi="Times New Roman" w:cs="Times New Roman"/>
          <w:sz w:val="24"/>
          <w:szCs w:val="24"/>
        </w:rPr>
        <w:t xml:space="preserve"> in March </w:t>
      </w:r>
      <w:r w:rsidR="00B92B91" w:rsidRPr="00501599">
        <w:rPr>
          <w:rFonts w:ascii="Times New Roman" w:hAnsi="Times New Roman" w:cs="Times New Roman"/>
          <w:sz w:val="24"/>
          <w:szCs w:val="24"/>
        </w:rPr>
        <w:t xml:space="preserve">2022 </w:t>
      </w:r>
      <w:r w:rsidRPr="00501599">
        <w:rPr>
          <w:rFonts w:ascii="Times New Roman" w:hAnsi="Times New Roman" w:cs="Times New Roman"/>
          <w:sz w:val="24"/>
          <w:szCs w:val="24"/>
        </w:rPr>
        <w:t xml:space="preserve">but since then have fallen back, to an average of </w:t>
      </w:r>
      <w:r w:rsidR="00F82929">
        <w:rPr>
          <w:rFonts w:ascii="Times New Roman" w:hAnsi="Times New Roman" w:cs="Times New Roman"/>
          <w:sz w:val="24"/>
          <w:szCs w:val="24"/>
        </w:rPr>
        <w:t>49,528</w:t>
      </w:r>
      <w:r w:rsidR="00757CAD" w:rsidRPr="00501599">
        <w:rPr>
          <w:rFonts w:ascii="Times New Roman" w:hAnsi="Times New Roman" w:cs="Times New Roman"/>
          <w:sz w:val="24"/>
          <w:szCs w:val="24"/>
        </w:rPr>
        <w:t xml:space="preserve"> </w:t>
      </w:r>
      <w:r w:rsidRPr="00501599">
        <w:rPr>
          <w:rFonts w:ascii="Times New Roman" w:hAnsi="Times New Roman" w:cs="Times New Roman"/>
          <w:sz w:val="24"/>
          <w:szCs w:val="24"/>
        </w:rPr>
        <w:t>in the latest quarter</w:t>
      </w:r>
      <w:r w:rsidR="00196EF2" w:rsidRPr="00501599">
        <w:rPr>
          <w:rFonts w:ascii="Times New Roman" w:hAnsi="Times New Roman" w:cs="Times New Roman"/>
          <w:sz w:val="24"/>
          <w:szCs w:val="24"/>
        </w:rPr>
        <w:t xml:space="preserve">, to </w:t>
      </w:r>
      <w:r w:rsidR="00F82929">
        <w:rPr>
          <w:rFonts w:ascii="Times New Roman" w:hAnsi="Times New Roman" w:cs="Times New Roman"/>
          <w:sz w:val="24"/>
          <w:szCs w:val="24"/>
        </w:rPr>
        <w:t>October</w:t>
      </w:r>
      <w:r w:rsidR="00796116" w:rsidRPr="00501599">
        <w:rPr>
          <w:rFonts w:ascii="Times New Roman" w:hAnsi="Times New Roman" w:cs="Times New Roman"/>
          <w:sz w:val="24"/>
          <w:szCs w:val="24"/>
        </w:rPr>
        <w:t xml:space="preserve"> 2023</w:t>
      </w:r>
      <w:r w:rsidR="00D60F0A" w:rsidRPr="00501599">
        <w:rPr>
          <w:rFonts w:ascii="Times New Roman" w:hAnsi="Times New Roman" w:cs="Times New Roman"/>
          <w:sz w:val="24"/>
          <w:szCs w:val="24"/>
        </w:rPr>
        <w:t xml:space="preserve"> (</w:t>
      </w:r>
      <w:r w:rsidR="00D60F0A" w:rsidRPr="00501599">
        <w:rPr>
          <w:rFonts w:ascii="Times New Roman" w:hAnsi="Times New Roman" w:cs="Times New Roman"/>
          <w:b/>
          <w:sz w:val="24"/>
          <w:szCs w:val="24"/>
        </w:rPr>
        <w:t xml:space="preserve">Figure </w:t>
      </w:r>
      <w:r w:rsidR="009F3EC6" w:rsidRPr="00501599">
        <w:rPr>
          <w:rFonts w:ascii="Times New Roman" w:hAnsi="Times New Roman" w:cs="Times New Roman"/>
          <w:b/>
          <w:sz w:val="24"/>
          <w:szCs w:val="24"/>
        </w:rPr>
        <w:t>1</w:t>
      </w:r>
      <w:r w:rsidR="00D60F0A" w:rsidRPr="00501599">
        <w:rPr>
          <w:rFonts w:ascii="Times New Roman" w:hAnsi="Times New Roman" w:cs="Times New Roman"/>
          <w:sz w:val="24"/>
          <w:szCs w:val="24"/>
        </w:rPr>
        <w:t>).</w:t>
      </w:r>
      <w:r w:rsidRPr="00501599">
        <w:rPr>
          <w:rFonts w:ascii="Times New Roman" w:hAnsi="Times New Roman" w:cs="Times New Roman"/>
          <w:sz w:val="24"/>
          <w:szCs w:val="24"/>
        </w:rPr>
        <w:t xml:space="preserve"> </w:t>
      </w:r>
      <w:r w:rsidR="00501599" w:rsidRPr="00501599">
        <w:rPr>
          <w:rFonts w:ascii="Times New Roman" w:hAnsi="Times New Roman" w:cs="Times New Roman"/>
          <w:sz w:val="24"/>
          <w:szCs w:val="24"/>
        </w:rPr>
        <w:t xml:space="preserve"> </w:t>
      </w:r>
      <w:proofErr w:type="gramStart"/>
      <w:r w:rsidR="002A10FD" w:rsidRPr="00501599">
        <w:rPr>
          <w:rFonts w:ascii="Times New Roman" w:hAnsi="Times New Roman" w:cs="Times New Roman"/>
          <w:sz w:val="24"/>
          <w:szCs w:val="24"/>
        </w:rPr>
        <w:t xml:space="preserve">However this is an increase </w:t>
      </w:r>
      <w:r w:rsidR="00522DD2">
        <w:rPr>
          <w:rFonts w:ascii="Times New Roman" w:hAnsi="Times New Roman" w:cs="Times New Roman"/>
          <w:sz w:val="24"/>
          <w:szCs w:val="24"/>
        </w:rPr>
        <w:t>since the previous quarter (to July</w:t>
      </w:r>
      <w:r w:rsidR="002A10FD" w:rsidRPr="00501599">
        <w:rPr>
          <w:rFonts w:ascii="Times New Roman" w:hAnsi="Times New Roman" w:cs="Times New Roman"/>
          <w:sz w:val="24"/>
          <w:szCs w:val="24"/>
        </w:rPr>
        <w:t xml:space="preserve"> 2023), when it was </w:t>
      </w:r>
      <w:r w:rsidR="00F82929">
        <w:rPr>
          <w:rFonts w:ascii="Times New Roman" w:hAnsi="Times New Roman" w:cs="Times New Roman"/>
          <w:sz w:val="24"/>
          <w:szCs w:val="24"/>
        </w:rPr>
        <w:t>46,077</w:t>
      </w:r>
      <w:r w:rsidR="002A10FD" w:rsidRPr="00501599">
        <w:rPr>
          <w:rFonts w:ascii="Times New Roman" w:hAnsi="Times New Roman" w:cs="Times New Roman"/>
          <w:sz w:val="24"/>
          <w:szCs w:val="24"/>
        </w:rPr>
        <w:t>.</w:t>
      </w:r>
      <w:proofErr w:type="gramEnd"/>
      <w:r w:rsidR="002A10FD" w:rsidRPr="00501599">
        <w:rPr>
          <w:rFonts w:ascii="Times New Roman" w:hAnsi="Times New Roman" w:cs="Times New Roman"/>
          <w:sz w:val="24"/>
          <w:szCs w:val="24"/>
        </w:rPr>
        <w:t xml:space="preserve"> </w:t>
      </w:r>
      <w:r w:rsidR="005A3E08" w:rsidRPr="00501599">
        <w:rPr>
          <w:rFonts w:ascii="Times New Roman" w:hAnsi="Times New Roman" w:cs="Times New Roman"/>
          <w:sz w:val="24"/>
          <w:szCs w:val="24"/>
        </w:rPr>
        <w:t>Th</w:t>
      </w:r>
      <w:r w:rsidR="002A10FD" w:rsidRPr="00501599">
        <w:rPr>
          <w:rFonts w:ascii="Times New Roman" w:hAnsi="Times New Roman" w:cs="Times New Roman"/>
          <w:sz w:val="24"/>
          <w:szCs w:val="24"/>
        </w:rPr>
        <w:t>e latest average</w:t>
      </w:r>
      <w:r w:rsidR="005A3E08" w:rsidRPr="00501599">
        <w:rPr>
          <w:rFonts w:ascii="Times New Roman" w:hAnsi="Times New Roman" w:cs="Times New Roman"/>
          <w:sz w:val="24"/>
          <w:szCs w:val="24"/>
        </w:rPr>
        <w:t xml:space="preserve"> is </w:t>
      </w:r>
      <w:r w:rsidR="00F82929">
        <w:rPr>
          <w:rFonts w:ascii="Times New Roman" w:hAnsi="Times New Roman" w:cs="Times New Roman"/>
          <w:sz w:val="24"/>
          <w:szCs w:val="24"/>
        </w:rPr>
        <w:t>close to three</w:t>
      </w:r>
      <w:r w:rsidR="005A3E08" w:rsidRPr="00501599">
        <w:rPr>
          <w:rFonts w:ascii="Times New Roman" w:hAnsi="Times New Roman" w:cs="Times New Roman"/>
          <w:sz w:val="24"/>
          <w:szCs w:val="24"/>
        </w:rPr>
        <w:t xml:space="preserve"> times the average in the last full three months before the pandemic (to February 2020), which was 17,29</w:t>
      </w:r>
      <w:r w:rsidR="00F82929">
        <w:rPr>
          <w:rFonts w:ascii="Times New Roman" w:hAnsi="Times New Roman" w:cs="Times New Roman"/>
          <w:sz w:val="24"/>
          <w:szCs w:val="24"/>
        </w:rPr>
        <w:t>0</w:t>
      </w:r>
      <w:r w:rsidR="005A3E08" w:rsidRPr="00501599">
        <w:rPr>
          <w:rFonts w:ascii="Times New Roman" w:hAnsi="Times New Roman" w:cs="Times New Roman"/>
          <w:sz w:val="24"/>
          <w:szCs w:val="24"/>
        </w:rPr>
        <w:t xml:space="preserve">. </w:t>
      </w:r>
    </w:p>
    <w:p w:rsidR="00796116" w:rsidRPr="00501599" w:rsidRDefault="00796116" w:rsidP="005A40B3">
      <w:pPr>
        <w:rPr>
          <w:rFonts w:ascii="Times New Roman" w:hAnsi="Times New Roman" w:cs="Times New Roman"/>
          <w:sz w:val="24"/>
          <w:szCs w:val="24"/>
        </w:rPr>
      </w:pPr>
    </w:p>
    <w:p w:rsidR="000908C6" w:rsidRPr="00501599" w:rsidRDefault="00EA72DB" w:rsidP="005A40B3">
      <w:pPr>
        <w:rPr>
          <w:rFonts w:ascii="Times New Roman" w:hAnsi="Times New Roman" w:cs="Times New Roman"/>
          <w:b/>
          <w:i/>
          <w:sz w:val="24"/>
          <w:szCs w:val="24"/>
        </w:rPr>
      </w:pPr>
      <w:r w:rsidRPr="00501599">
        <w:rPr>
          <w:rFonts w:ascii="Times New Roman" w:hAnsi="Times New Roman" w:cs="Times New Roman"/>
          <w:b/>
          <w:i/>
          <w:sz w:val="24"/>
          <w:szCs w:val="24"/>
        </w:rPr>
        <w:t xml:space="preserve">Monthly </w:t>
      </w:r>
      <w:r w:rsidR="009175B9" w:rsidRPr="00501599">
        <w:rPr>
          <w:rFonts w:ascii="Times New Roman" w:hAnsi="Times New Roman" w:cs="Times New Roman"/>
          <w:b/>
          <w:i/>
          <w:sz w:val="24"/>
          <w:szCs w:val="24"/>
        </w:rPr>
        <w:t>UC s</w:t>
      </w:r>
      <w:r w:rsidR="00201C81" w:rsidRPr="00501599">
        <w:rPr>
          <w:rFonts w:ascii="Times New Roman" w:hAnsi="Times New Roman" w:cs="Times New Roman"/>
          <w:b/>
          <w:i/>
          <w:sz w:val="24"/>
          <w:szCs w:val="24"/>
        </w:rPr>
        <w:t>anctions as a percentage of UC claimants subject to conditionality</w:t>
      </w:r>
    </w:p>
    <w:p w:rsidR="00201C81" w:rsidRPr="00501599" w:rsidRDefault="00201C81" w:rsidP="005A40B3">
      <w:pPr>
        <w:rPr>
          <w:rFonts w:ascii="Times New Roman" w:hAnsi="Times New Roman" w:cs="Times New Roman"/>
          <w:sz w:val="24"/>
          <w:szCs w:val="24"/>
        </w:rPr>
      </w:pPr>
    </w:p>
    <w:p w:rsidR="003229DC" w:rsidRPr="00501599" w:rsidRDefault="009175B9" w:rsidP="005A40B3">
      <w:pPr>
        <w:rPr>
          <w:rFonts w:ascii="Times New Roman" w:hAnsi="Times New Roman" w:cs="Times New Roman"/>
          <w:sz w:val="24"/>
          <w:szCs w:val="24"/>
        </w:rPr>
      </w:pPr>
      <w:r w:rsidRPr="00501599">
        <w:rPr>
          <w:rFonts w:ascii="Times New Roman" w:hAnsi="Times New Roman" w:cs="Times New Roman"/>
          <w:sz w:val="24"/>
          <w:szCs w:val="24"/>
        </w:rPr>
        <w:t xml:space="preserve">UC sanctions have also </w:t>
      </w:r>
      <w:r w:rsidR="004B6913" w:rsidRPr="00501599">
        <w:rPr>
          <w:rFonts w:ascii="Times New Roman" w:hAnsi="Times New Roman" w:cs="Times New Roman"/>
          <w:sz w:val="24"/>
          <w:szCs w:val="24"/>
        </w:rPr>
        <w:t xml:space="preserve">more or less </w:t>
      </w:r>
      <w:r w:rsidR="00481806" w:rsidRPr="00501599">
        <w:rPr>
          <w:rFonts w:ascii="Times New Roman" w:hAnsi="Times New Roman" w:cs="Times New Roman"/>
          <w:sz w:val="24"/>
          <w:szCs w:val="24"/>
        </w:rPr>
        <w:t>stabilis</w:t>
      </w:r>
      <w:r w:rsidRPr="00501599">
        <w:rPr>
          <w:rFonts w:ascii="Times New Roman" w:hAnsi="Times New Roman" w:cs="Times New Roman"/>
          <w:sz w:val="24"/>
          <w:szCs w:val="24"/>
        </w:rPr>
        <w:t xml:space="preserve">ed as a percentage of UC claimants subject to conditionality </w:t>
      </w:r>
      <w:r w:rsidR="00674D4E" w:rsidRPr="00501599">
        <w:rPr>
          <w:rFonts w:ascii="Times New Roman" w:hAnsi="Times New Roman" w:cs="Times New Roman"/>
          <w:sz w:val="24"/>
          <w:szCs w:val="24"/>
        </w:rPr>
        <w:t>(</w:t>
      </w:r>
      <w:r w:rsidR="00674D4E" w:rsidRPr="00501599">
        <w:rPr>
          <w:rFonts w:ascii="Times New Roman" w:hAnsi="Times New Roman" w:cs="Times New Roman"/>
          <w:b/>
          <w:sz w:val="24"/>
          <w:szCs w:val="24"/>
        </w:rPr>
        <w:t xml:space="preserve">Figure </w:t>
      </w:r>
      <w:r w:rsidR="009F3EC6" w:rsidRPr="00501599">
        <w:rPr>
          <w:rFonts w:ascii="Times New Roman" w:hAnsi="Times New Roman" w:cs="Times New Roman"/>
          <w:b/>
          <w:sz w:val="24"/>
          <w:szCs w:val="24"/>
        </w:rPr>
        <w:t>2</w:t>
      </w:r>
      <w:r w:rsidR="00674D4E" w:rsidRPr="00501599">
        <w:rPr>
          <w:rFonts w:ascii="Times New Roman" w:hAnsi="Times New Roman" w:cs="Times New Roman"/>
          <w:sz w:val="24"/>
          <w:szCs w:val="24"/>
        </w:rPr>
        <w:t xml:space="preserve">). The </w:t>
      </w:r>
      <w:r w:rsidR="00B27ABF" w:rsidRPr="00501599">
        <w:rPr>
          <w:rFonts w:ascii="Times New Roman" w:hAnsi="Times New Roman" w:cs="Times New Roman"/>
          <w:sz w:val="24"/>
          <w:szCs w:val="24"/>
        </w:rPr>
        <w:t xml:space="preserve">monthly average of </w:t>
      </w:r>
      <w:r w:rsidR="00243DA5">
        <w:rPr>
          <w:rFonts w:ascii="Times New Roman" w:hAnsi="Times New Roman" w:cs="Times New Roman"/>
          <w:sz w:val="24"/>
          <w:szCs w:val="24"/>
        </w:rPr>
        <w:t>49,528</w:t>
      </w:r>
      <w:r w:rsidR="00B27ABF" w:rsidRPr="00501599">
        <w:rPr>
          <w:rFonts w:ascii="Times New Roman" w:hAnsi="Times New Roman" w:cs="Times New Roman"/>
          <w:sz w:val="24"/>
          <w:szCs w:val="24"/>
        </w:rPr>
        <w:t xml:space="preserve"> for the latest quarter </w:t>
      </w:r>
      <w:r w:rsidR="00196EF2" w:rsidRPr="00501599">
        <w:rPr>
          <w:rFonts w:ascii="Times New Roman" w:hAnsi="Times New Roman" w:cs="Times New Roman"/>
          <w:sz w:val="24"/>
          <w:szCs w:val="24"/>
        </w:rPr>
        <w:t xml:space="preserve">to </w:t>
      </w:r>
      <w:r w:rsidR="00243DA5">
        <w:rPr>
          <w:rFonts w:ascii="Times New Roman" w:hAnsi="Times New Roman" w:cs="Times New Roman"/>
          <w:sz w:val="24"/>
          <w:szCs w:val="24"/>
        </w:rPr>
        <w:t>October</w:t>
      </w:r>
      <w:r w:rsidR="00D0277C" w:rsidRPr="00501599">
        <w:rPr>
          <w:rFonts w:ascii="Times New Roman" w:hAnsi="Times New Roman" w:cs="Times New Roman"/>
          <w:sz w:val="24"/>
          <w:szCs w:val="24"/>
        </w:rPr>
        <w:t xml:space="preserve"> 2023</w:t>
      </w:r>
      <w:r w:rsidR="00196EF2" w:rsidRPr="00501599">
        <w:rPr>
          <w:rFonts w:ascii="Times New Roman" w:hAnsi="Times New Roman" w:cs="Times New Roman"/>
          <w:sz w:val="24"/>
          <w:szCs w:val="24"/>
        </w:rPr>
        <w:t xml:space="preserve"> </w:t>
      </w:r>
      <w:r w:rsidR="00B27ABF" w:rsidRPr="00501599">
        <w:rPr>
          <w:rFonts w:ascii="Times New Roman" w:hAnsi="Times New Roman" w:cs="Times New Roman"/>
          <w:sz w:val="24"/>
          <w:szCs w:val="24"/>
        </w:rPr>
        <w:t>equates to 2.</w:t>
      </w:r>
      <w:r w:rsidR="00243DA5">
        <w:rPr>
          <w:rFonts w:ascii="Times New Roman" w:hAnsi="Times New Roman" w:cs="Times New Roman"/>
          <w:sz w:val="24"/>
          <w:szCs w:val="24"/>
        </w:rPr>
        <w:t>64</w:t>
      </w:r>
      <w:r w:rsidR="00B27ABF" w:rsidRPr="00501599">
        <w:rPr>
          <w:rFonts w:ascii="Times New Roman" w:hAnsi="Times New Roman" w:cs="Times New Roman"/>
          <w:sz w:val="24"/>
          <w:szCs w:val="24"/>
        </w:rPr>
        <w:t>% per month of UC claimants subject to conditionality</w:t>
      </w:r>
      <w:r w:rsidR="004B6913" w:rsidRPr="00501599">
        <w:rPr>
          <w:rFonts w:ascii="Times New Roman" w:hAnsi="Times New Roman" w:cs="Times New Roman"/>
          <w:sz w:val="24"/>
          <w:szCs w:val="24"/>
        </w:rPr>
        <w:t>, a slight increase over the previous quarter</w:t>
      </w:r>
      <w:r w:rsidR="00674D4E" w:rsidRPr="00501599">
        <w:rPr>
          <w:rFonts w:ascii="Times New Roman" w:hAnsi="Times New Roman" w:cs="Times New Roman"/>
          <w:sz w:val="24"/>
          <w:szCs w:val="24"/>
        </w:rPr>
        <w:t>.</w:t>
      </w:r>
      <w:r w:rsidR="008905A5" w:rsidRPr="00501599">
        <w:rPr>
          <w:rFonts w:ascii="Times New Roman" w:hAnsi="Times New Roman" w:cs="Times New Roman"/>
          <w:sz w:val="24"/>
          <w:szCs w:val="24"/>
        </w:rPr>
        <w:t xml:space="preserve"> </w:t>
      </w:r>
      <w:r w:rsidR="00E43FF0" w:rsidRPr="00501599">
        <w:rPr>
          <w:rFonts w:ascii="Times New Roman" w:hAnsi="Times New Roman" w:cs="Times New Roman"/>
          <w:sz w:val="24"/>
          <w:szCs w:val="24"/>
        </w:rPr>
        <w:t>I</w:t>
      </w:r>
      <w:r w:rsidR="008905A5" w:rsidRPr="00501599">
        <w:rPr>
          <w:rFonts w:ascii="Times New Roman" w:hAnsi="Times New Roman" w:cs="Times New Roman"/>
          <w:sz w:val="24"/>
          <w:szCs w:val="24"/>
        </w:rPr>
        <w:t xml:space="preserve">n the three months immediately preceding the pandemic, i.e. December 2019 to February 2020, it was 1.4% per month. </w:t>
      </w:r>
      <w:r w:rsidR="00674D4E" w:rsidRPr="00501599">
        <w:rPr>
          <w:rFonts w:ascii="Times New Roman" w:hAnsi="Times New Roman" w:cs="Times New Roman"/>
          <w:sz w:val="24"/>
          <w:szCs w:val="24"/>
        </w:rPr>
        <w:t xml:space="preserve"> </w:t>
      </w:r>
    </w:p>
    <w:p w:rsidR="003229DC" w:rsidRPr="00501599" w:rsidRDefault="003229DC" w:rsidP="005A40B3">
      <w:pPr>
        <w:rPr>
          <w:rFonts w:ascii="Times New Roman" w:hAnsi="Times New Roman" w:cs="Times New Roman"/>
          <w:sz w:val="24"/>
          <w:szCs w:val="24"/>
        </w:rPr>
      </w:pPr>
    </w:p>
    <w:p w:rsidR="00B95790" w:rsidRDefault="00B95790" w:rsidP="005A40B3">
      <w:pPr>
        <w:rPr>
          <w:rFonts w:ascii="Times New Roman" w:hAnsi="Times New Roman" w:cs="Times New Roman"/>
          <w:sz w:val="24"/>
          <w:szCs w:val="24"/>
        </w:rPr>
      </w:pPr>
      <w:r w:rsidRPr="00501599">
        <w:rPr>
          <w:rFonts w:ascii="Times New Roman" w:hAnsi="Times New Roman" w:cs="Times New Roman"/>
          <w:sz w:val="24"/>
          <w:szCs w:val="24"/>
        </w:rPr>
        <w:lastRenderedPageBreak/>
        <w:t xml:space="preserve">The reason for the very high initial rates of UC sanctions shown in </w:t>
      </w:r>
      <w:r w:rsidRPr="00501599">
        <w:rPr>
          <w:rFonts w:ascii="Times New Roman" w:hAnsi="Times New Roman" w:cs="Times New Roman"/>
          <w:b/>
          <w:sz w:val="24"/>
          <w:szCs w:val="24"/>
        </w:rPr>
        <w:t xml:space="preserve">Figure </w:t>
      </w:r>
      <w:r>
        <w:rPr>
          <w:rFonts w:ascii="Times New Roman" w:hAnsi="Times New Roman" w:cs="Times New Roman"/>
          <w:b/>
          <w:sz w:val="24"/>
          <w:szCs w:val="24"/>
        </w:rPr>
        <w:t>2</w:t>
      </w:r>
      <w:r>
        <w:rPr>
          <w:rFonts w:ascii="Times New Roman" w:hAnsi="Times New Roman" w:cs="Times New Roman"/>
          <w:sz w:val="24"/>
          <w:szCs w:val="24"/>
        </w:rPr>
        <w:t xml:space="preserve"> is that </w:t>
      </w:r>
      <w:r w:rsidRPr="00501599">
        <w:rPr>
          <w:rFonts w:ascii="Times New Roman" w:hAnsi="Times New Roman" w:cs="Times New Roman"/>
          <w:sz w:val="24"/>
          <w:szCs w:val="24"/>
        </w:rPr>
        <w:t>when UC was launched</w:t>
      </w:r>
      <w:r w:rsidRPr="007527F9">
        <w:rPr>
          <w:rFonts w:ascii="Times New Roman" w:hAnsi="Times New Roman" w:cs="Times New Roman"/>
          <w:sz w:val="24"/>
          <w:szCs w:val="24"/>
        </w:rPr>
        <w:t xml:space="preserve"> </w:t>
      </w:r>
      <w:r>
        <w:rPr>
          <w:rFonts w:ascii="Times New Roman" w:hAnsi="Times New Roman" w:cs="Times New Roman"/>
          <w:sz w:val="24"/>
          <w:szCs w:val="24"/>
        </w:rPr>
        <w:t>(as L</w:t>
      </w:r>
      <w:r w:rsidRPr="00501599">
        <w:rPr>
          <w:rFonts w:ascii="Times New Roman" w:hAnsi="Times New Roman" w:cs="Times New Roman"/>
          <w:sz w:val="24"/>
          <w:szCs w:val="24"/>
        </w:rPr>
        <w:t xml:space="preserve">ive </w:t>
      </w:r>
      <w:r>
        <w:rPr>
          <w:rFonts w:ascii="Times New Roman" w:hAnsi="Times New Roman" w:cs="Times New Roman"/>
          <w:sz w:val="24"/>
          <w:szCs w:val="24"/>
        </w:rPr>
        <w:t>Service)</w:t>
      </w:r>
      <w:r w:rsidRPr="00501599">
        <w:rPr>
          <w:rFonts w:ascii="Times New Roman" w:hAnsi="Times New Roman" w:cs="Times New Roman"/>
          <w:sz w:val="24"/>
          <w:szCs w:val="24"/>
        </w:rPr>
        <w:t>, it was only available to single people without dependants, and they tend to be young people, who have high rates of sanction.</w:t>
      </w:r>
    </w:p>
    <w:p w:rsidR="00B95790" w:rsidRDefault="00B95790" w:rsidP="005A40B3">
      <w:pPr>
        <w:rPr>
          <w:rFonts w:ascii="Times New Roman" w:hAnsi="Times New Roman" w:cs="Times New Roman"/>
          <w:sz w:val="24"/>
          <w:szCs w:val="24"/>
        </w:rPr>
      </w:pPr>
    </w:p>
    <w:p w:rsidR="00120C32" w:rsidRDefault="00731FAA" w:rsidP="005A40B3">
      <w:pPr>
        <w:rPr>
          <w:rFonts w:ascii="Times New Roman" w:hAnsi="Times New Roman" w:cs="Times New Roman"/>
          <w:sz w:val="24"/>
          <w:szCs w:val="24"/>
        </w:rPr>
      </w:pPr>
      <w:r w:rsidRPr="00501599">
        <w:rPr>
          <w:rFonts w:ascii="Times New Roman" w:hAnsi="Times New Roman" w:cs="Times New Roman"/>
          <w:sz w:val="24"/>
          <w:szCs w:val="24"/>
        </w:rPr>
        <w:t>As noted in previous Briefings, t</w:t>
      </w:r>
      <w:r w:rsidR="00A83D68" w:rsidRPr="00501599">
        <w:rPr>
          <w:rFonts w:ascii="Times New Roman" w:hAnsi="Times New Roman" w:cs="Times New Roman"/>
          <w:sz w:val="24"/>
          <w:szCs w:val="24"/>
        </w:rPr>
        <w:t xml:space="preserve">he overall rate for UC puts together different categories of claimant with </w:t>
      </w:r>
      <w:r w:rsidR="006D3949" w:rsidRPr="00501599">
        <w:rPr>
          <w:rFonts w:ascii="Times New Roman" w:hAnsi="Times New Roman" w:cs="Times New Roman"/>
          <w:sz w:val="24"/>
          <w:szCs w:val="24"/>
        </w:rPr>
        <w:t>very</w:t>
      </w:r>
      <w:r w:rsidR="00A83D68" w:rsidRPr="00501599">
        <w:rPr>
          <w:rFonts w:ascii="Times New Roman" w:hAnsi="Times New Roman" w:cs="Times New Roman"/>
          <w:sz w:val="24"/>
          <w:szCs w:val="24"/>
        </w:rPr>
        <w:t xml:space="preserve"> different rates of sanctioning – unemployed, sick/disabled and those with caring responsibilities. </w:t>
      </w:r>
      <w:r w:rsidR="006D3949" w:rsidRPr="00501599">
        <w:rPr>
          <w:rFonts w:ascii="Times New Roman" w:hAnsi="Times New Roman" w:cs="Times New Roman"/>
          <w:sz w:val="24"/>
          <w:szCs w:val="24"/>
        </w:rPr>
        <w:t xml:space="preserve">The rate for </w:t>
      </w:r>
      <w:r w:rsidR="006D3949" w:rsidRPr="00501599">
        <w:rPr>
          <w:rFonts w:ascii="Times New Roman" w:hAnsi="Times New Roman" w:cs="Times New Roman"/>
          <w:i/>
          <w:sz w:val="24"/>
          <w:szCs w:val="24"/>
        </w:rPr>
        <w:t>unemployed</w:t>
      </w:r>
      <w:r w:rsidR="006D3949" w:rsidRPr="00501599">
        <w:rPr>
          <w:rFonts w:ascii="Times New Roman" w:hAnsi="Times New Roman" w:cs="Times New Roman"/>
          <w:sz w:val="24"/>
          <w:szCs w:val="24"/>
        </w:rPr>
        <w:t xml:space="preserve"> claimants (‘searching for work’) is </w:t>
      </w:r>
      <w:r w:rsidR="00224AFB" w:rsidRPr="00501599">
        <w:rPr>
          <w:rFonts w:ascii="Times New Roman" w:hAnsi="Times New Roman" w:cs="Times New Roman"/>
          <w:sz w:val="24"/>
          <w:szCs w:val="24"/>
        </w:rPr>
        <w:t xml:space="preserve">much </w:t>
      </w:r>
      <w:r w:rsidR="006D3949" w:rsidRPr="00501599">
        <w:rPr>
          <w:rFonts w:ascii="Times New Roman" w:hAnsi="Times New Roman" w:cs="Times New Roman"/>
          <w:sz w:val="24"/>
          <w:szCs w:val="24"/>
        </w:rPr>
        <w:t>higher than for the other conditionality groups</w:t>
      </w:r>
      <w:r w:rsidR="003E3379" w:rsidRPr="00501599">
        <w:rPr>
          <w:rFonts w:ascii="Times New Roman" w:hAnsi="Times New Roman" w:cs="Times New Roman"/>
          <w:sz w:val="24"/>
          <w:szCs w:val="24"/>
        </w:rPr>
        <w:t>, which have quite low rates of sanctioning</w:t>
      </w:r>
      <w:r w:rsidR="006D3949" w:rsidRPr="00501599">
        <w:rPr>
          <w:rFonts w:ascii="Times New Roman" w:hAnsi="Times New Roman" w:cs="Times New Roman"/>
          <w:sz w:val="24"/>
          <w:szCs w:val="24"/>
        </w:rPr>
        <w:t xml:space="preserve">. </w:t>
      </w:r>
      <w:r w:rsidR="00853F46" w:rsidRPr="00501599">
        <w:rPr>
          <w:rFonts w:ascii="Times New Roman" w:hAnsi="Times New Roman" w:cs="Times New Roman"/>
          <w:sz w:val="24"/>
          <w:szCs w:val="24"/>
        </w:rPr>
        <w:t xml:space="preserve"> </w:t>
      </w:r>
      <w:r w:rsidR="007527F9">
        <w:rPr>
          <w:rFonts w:ascii="Times New Roman" w:hAnsi="Times New Roman" w:cs="Times New Roman"/>
          <w:sz w:val="24"/>
          <w:szCs w:val="24"/>
        </w:rPr>
        <w:t xml:space="preserve">This is evident in the figures for claimants serving a sanction at a point in time (see below, </w:t>
      </w:r>
      <w:r w:rsidR="007527F9" w:rsidRPr="007527F9">
        <w:rPr>
          <w:rFonts w:ascii="Times New Roman" w:hAnsi="Times New Roman" w:cs="Times New Roman"/>
          <w:b/>
          <w:sz w:val="24"/>
          <w:szCs w:val="24"/>
        </w:rPr>
        <w:t>Figure 14</w:t>
      </w:r>
      <w:r w:rsidR="007527F9">
        <w:rPr>
          <w:rFonts w:ascii="Times New Roman" w:hAnsi="Times New Roman" w:cs="Times New Roman"/>
          <w:sz w:val="24"/>
          <w:szCs w:val="24"/>
        </w:rPr>
        <w:t xml:space="preserve">). </w:t>
      </w:r>
    </w:p>
    <w:p w:rsidR="007527F9" w:rsidRDefault="007527F9" w:rsidP="005A40B3">
      <w:pPr>
        <w:rPr>
          <w:rFonts w:ascii="Times New Roman" w:hAnsi="Times New Roman" w:cs="Times New Roman"/>
          <w:sz w:val="24"/>
          <w:szCs w:val="24"/>
        </w:rPr>
      </w:pPr>
    </w:p>
    <w:p w:rsidR="00A97C98" w:rsidRPr="00501599" w:rsidRDefault="00A97C98" w:rsidP="005A40B3">
      <w:pPr>
        <w:rPr>
          <w:rFonts w:ascii="Times New Roman" w:hAnsi="Times New Roman" w:cs="Times New Roman"/>
          <w:b/>
          <w:sz w:val="32"/>
          <w:szCs w:val="32"/>
        </w:rPr>
      </w:pPr>
      <w:r w:rsidRPr="00501599">
        <w:rPr>
          <w:rFonts w:ascii="Times New Roman" w:hAnsi="Times New Roman" w:cs="Times New Roman"/>
          <w:b/>
          <w:sz w:val="32"/>
          <w:szCs w:val="32"/>
        </w:rPr>
        <w:t>N</w:t>
      </w:r>
      <w:r w:rsidR="00B00E29" w:rsidRPr="00501599">
        <w:rPr>
          <w:rFonts w:ascii="Times New Roman" w:hAnsi="Times New Roman" w:cs="Times New Roman"/>
          <w:b/>
          <w:sz w:val="32"/>
          <w:szCs w:val="32"/>
        </w:rPr>
        <w:t>o.</w:t>
      </w:r>
      <w:r w:rsidRPr="00501599">
        <w:rPr>
          <w:rFonts w:ascii="Times New Roman" w:hAnsi="Times New Roman" w:cs="Times New Roman"/>
          <w:b/>
          <w:sz w:val="32"/>
          <w:szCs w:val="32"/>
        </w:rPr>
        <w:t xml:space="preserve"> of Universal Credit </w:t>
      </w:r>
      <w:r w:rsidR="00B00E29" w:rsidRPr="00501599">
        <w:rPr>
          <w:rFonts w:ascii="Times New Roman" w:hAnsi="Times New Roman" w:cs="Times New Roman"/>
          <w:b/>
          <w:sz w:val="32"/>
          <w:szCs w:val="32"/>
        </w:rPr>
        <w:t>sanctions and no. of UC claimants</w:t>
      </w:r>
      <w:r w:rsidRPr="00501599">
        <w:rPr>
          <w:rFonts w:ascii="Times New Roman" w:hAnsi="Times New Roman" w:cs="Times New Roman"/>
          <w:b/>
          <w:sz w:val="32"/>
          <w:szCs w:val="32"/>
        </w:rPr>
        <w:t xml:space="preserve"> sanction</w:t>
      </w:r>
      <w:r w:rsidR="008413ED" w:rsidRPr="00501599">
        <w:rPr>
          <w:rFonts w:ascii="Times New Roman" w:hAnsi="Times New Roman" w:cs="Times New Roman"/>
          <w:b/>
          <w:sz w:val="32"/>
          <w:szCs w:val="32"/>
        </w:rPr>
        <w:t>ed</w:t>
      </w:r>
      <w:r w:rsidRPr="00501599">
        <w:rPr>
          <w:rFonts w:ascii="Times New Roman" w:hAnsi="Times New Roman" w:cs="Times New Roman"/>
          <w:b/>
          <w:sz w:val="32"/>
          <w:szCs w:val="32"/>
        </w:rPr>
        <w:t xml:space="preserve"> </w:t>
      </w:r>
      <w:r w:rsidR="008413ED" w:rsidRPr="00501599">
        <w:rPr>
          <w:rFonts w:ascii="Times New Roman" w:hAnsi="Times New Roman" w:cs="Times New Roman"/>
          <w:b/>
          <w:sz w:val="32"/>
          <w:szCs w:val="32"/>
        </w:rPr>
        <w:t>during</w:t>
      </w:r>
      <w:r w:rsidRPr="00501599">
        <w:rPr>
          <w:rFonts w:ascii="Times New Roman" w:hAnsi="Times New Roman" w:cs="Times New Roman"/>
          <w:b/>
          <w:sz w:val="32"/>
          <w:szCs w:val="32"/>
        </w:rPr>
        <w:t xml:space="preserve"> the year to </w:t>
      </w:r>
      <w:r w:rsidR="007A56B4" w:rsidRPr="00501599">
        <w:rPr>
          <w:rFonts w:ascii="Times New Roman" w:hAnsi="Times New Roman" w:cs="Times New Roman"/>
          <w:b/>
          <w:sz w:val="32"/>
          <w:szCs w:val="32"/>
        </w:rPr>
        <w:t xml:space="preserve">31 </w:t>
      </w:r>
      <w:r w:rsidR="00A06B4A">
        <w:rPr>
          <w:rFonts w:ascii="Times New Roman" w:hAnsi="Times New Roman" w:cs="Times New Roman"/>
          <w:b/>
          <w:sz w:val="32"/>
          <w:szCs w:val="32"/>
        </w:rPr>
        <w:t>October</w:t>
      </w:r>
      <w:r w:rsidR="00BD074D" w:rsidRPr="00501599">
        <w:rPr>
          <w:rFonts w:ascii="Times New Roman" w:hAnsi="Times New Roman" w:cs="Times New Roman"/>
          <w:b/>
          <w:sz w:val="32"/>
          <w:szCs w:val="32"/>
        </w:rPr>
        <w:t xml:space="preserve"> 2023</w:t>
      </w:r>
    </w:p>
    <w:p w:rsidR="00A97C98" w:rsidRPr="00501599" w:rsidRDefault="00A97C98" w:rsidP="005A40B3">
      <w:pPr>
        <w:rPr>
          <w:rFonts w:ascii="Times New Roman" w:hAnsi="Times New Roman" w:cs="Times New Roman"/>
          <w:sz w:val="24"/>
          <w:szCs w:val="24"/>
        </w:rPr>
      </w:pPr>
    </w:p>
    <w:p w:rsidR="00A97C98" w:rsidRPr="00501599" w:rsidRDefault="00A97C98" w:rsidP="005A40B3">
      <w:pPr>
        <w:rPr>
          <w:rFonts w:ascii="Times New Roman" w:hAnsi="Times New Roman" w:cs="Times New Roman"/>
          <w:sz w:val="24"/>
          <w:szCs w:val="24"/>
        </w:rPr>
      </w:pPr>
      <w:r w:rsidRPr="00501599">
        <w:rPr>
          <w:rFonts w:ascii="Times New Roman" w:hAnsi="Times New Roman" w:cs="Times New Roman"/>
          <w:sz w:val="24"/>
          <w:szCs w:val="24"/>
        </w:rPr>
        <w:t xml:space="preserve">The DWP’s </w:t>
      </w:r>
      <w:r w:rsidRPr="00501599">
        <w:rPr>
          <w:rFonts w:ascii="Times New Roman" w:hAnsi="Times New Roman" w:cs="Times New Roman"/>
          <w:i/>
          <w:sz w:val="24"/>
          <w:szCs w:val="24"/>
        </w:rPr>
        <w:t>Benefit Sanctions Statistics</w:t>
      </w:r>
      <w:r w:rsidRPr="00501599">
        <w:rPr>
          <w:rFonts w:ascii="Times New Roman" w:hAnsi="Times New Roman" w:cs="Times New Roman"/>
          <w:sz w:val="24"/>
          <w:szCs w:val="24"/>
        </w:rPr>
        <w:t xml:space="preserve"> spreadsheet has a table showing the numbers of individuals who received two, three, four etc UC sanctions during the </w:t>
      </w:r>
      <w:r w:rsidR="007A56B4" w:rsidRPr="00501599">
        <w:rPr>
          <w:rFonts w:ascii="Times New Roman" w:hAnsi="Times New Roman" w:cs="Times New Roman"/>
          <w:sz w:val="24"/>
          <w:szCs w:val="24"/>
        </w:rPr>
        <w:t>latest 12 months</w:t>
      </w:r>
      <w:r w:rsidRPr="00501599">
        <w:rPr>
          <w:rFonts w:ascii="Times New Roman" w:hAnsi="Times New Roman" w:cs="Times New Roman"/>
          <w:sz w:val="24"/>
          <w:szCs w:val="24"/>
        </w:rPr>
        <w:t>.</w:t>
      </w:r>
    </w:p>
    <w:p w:rsidR="00A97C98" w:rsidRDefault="00A97C98" w:rsidP="005A40B3">
      <w:pPr>
        <w:rPr>
          <w:rFonts w:ascii="Times New Roman" w:hAnsi="Times New Roman" w:cs="Times New Roman"/>
          <w:sz w:val="24"/>
          <w:szCs w:val="24"/>
        </w:rPr>
      </w:pPr>
      <w:r w:rsidRPr="00501599">
        <w:rPr>
          <w:rFonts w:ascii="Times New Roman" w:hAnsi="Times New Roman" w:cs="Times New Roman"/>
          <w:sz w:val="24"/>
          <w:szCs w:val="24"/>
        </w:rPr>
        <w:t xml:space="preserve">Since the total number of sanctions imposed is also shown, it is possible to calculate how many individual UC claimants were sanctioned during the year. Of the </w:t>
      </w:r>
      <w:r w:rsidR="00243DA5">
        <w:rPr>
          <w:rFonts w:ascii="Times New Roman" w:hAnsi="Times New Roman" w:cs="Times New Roman"/>
          <w:sz w:val="24"/>
          <w:szCs w:val="24"/>
        </w:rPr>
        <w:t>538,842</w:t>
      </w:r>
      <w:r w:rsidR="005C40BA" w:rsidRPr="00501599">
        <w:rPr>
          <w:rFonts w:ascii="Times New Roman" w:hAnsi="Times New Roman" w:cs="Times New Roman"/>
          <w:sz w:val="24"/>
          <w:szCs w:val="24"/>
        </w:rPr>
        <w:t xml:space="preserve"> </w:t>
      </w:r>
      <w:r w:rsidRPr="00501599">
        <w:rPr>
          <w:rFonts w:ascii="Times New Roman" w:hAnsi="Times New Roman" w:cs="Times New Roman"/>
          <w:sz w:val="24"/>
          <w:szCs w:val="24"/>
        </w:rPr>
        <w:t>UC sanctions imposed</w:t>
      </w:r>
      <w:r w:rsidR="007A56B4" w:rsidRPr="00501599">
        <w:rPr>
          <w:rFonts w:ascii="Times New Roman" w:hAnsi="Times New Roman" w:cs="Times New Roman"/>
          <w:sz w:val="24"/>
          <w:szCs w:val="24"/>
        </w:rPr>
        <w:t xml:space="preserve"> in the year to end-</w:t>
      </w:r>
      <w:r w:rsidR="00243DA5">
        <w:rPr>
          <w:rFonts w:ascii="Times New Roman" w:hAnsi="Times New Roman" w:cs="Times New Roman"/>
          <w:sz w:val="24"/>
          <w:szCs w:val="24"/>
        </w:rPr>
        <w:t>October</w:t>
      </w:r>
      <w:r w:rsidR="007A56B4" w:rsidRPr="00501599">
        <w:rPr>
          <w:rFonts w:ascii="Times New Roman" w:hAnsi="Times New Roman" w:cs="Times New Roman"/>
          <w:sz w:val="24"/>
          <w:szCs w:val="24"/>
        </w:rPr>
        <w:t xml:space="preserve"> 2023</w:t>
      </w:r>
      <w:r w:rsidRPr="00501599">
        <w:rPr>
          <w:rFonts w:ascii="Times New Roman" w:hAnsi="Times New Roman" w:cs="Times New Roman"/>
          <w:sz w:val="24"/>
          <w:szCs w:val="24"/>
        </w:rPr>
        <w:t xml:space="preserve">, </w:t>
      </w:r>
      <w:r w:rsidR="00243DA5">
        <w:rPr>
          <w:rFonts w:ascii="Times New Roman" w:hAnsi="Times New Roman" w:cs="Times New Roman"/>
          <w:sz w:val="24"/>
          <w:szCs w:val="24"/>
        </w:rPr>
        <w:t>119,623</w:t>
      </w:r>
      <w:r w:rsidRPr="00501599">
        <w:rPr>
          <w:rFonts w:ascii="Times New Roman" w:hAnsi="Times New Roman" w:cs="Times New Roman"/>
          <w:sz w:val="24"/>
          <w:szCs w:val="24"/>
        </w:rPr>
        <w:t xml:space="preserve"> were repeat sanctions on individuals who had already received </w:t>
      </w:r>
      <w:r w:rsidR="00255257" w:rsidRPr="00501599">
        <w:rPr>
          <w:rFonts w:ascii="Times New Roman" w:hAnsi="Times New Roman" w:cs="Times New Roman"/>
          <w:sz w:val="24"/>
          <w:szCs w:val="24"/>
        </w:rPr>
        <w:t xml:space="preserve">at least </w:t>
      </w:r>
      <w:r w:rsidRPr="00501599">
        <w:rPr>
          <w:rFonts w:ascii="Times New Roman" w:hAnsi="Times New Roman" w:cs="Times New Roman"/>
          <w:sz w:val="24"/>
          <w:szCs w:val="24"/>
        </w:rPr>
        <w:t xml:space="preserve">one sanction during the year. </w:t>
      </w:r>
      <w:r w:rsidRPr="00501599">
        <w:rPr>
          <w:rFonts w:ascii="Times New Roman" w:hAnsi="Times New Roman" w:cs="Times New Roman"/>
          <w:b/>
          <w:sz w:val="24"/>
          <w:szCs w:val="24"/>
        </w:rPr>
        <w:t xml:space="preserve">Therefore the total number of individual UC claimants who received at least one sanction during the year was </w:t>
      </w:r>
      <w:r w:rsidR="00BC7136">
        <w:rPr>
          <w:rFonts w:ascii="Times New Roman" w:hAnsi="Times New Roman" w:cs="Times New Roman"/>
          <w:b/>
          <w:sz w:val="24"/>
          <w:szCs w:val="24"/>
        </w:rPr>
        <w:t>419,219</w:t>
      </w:r>
      <w:r w:rsidRPr="00501599">
        <w:rPr>
          <w:rFonts w:ascii="Times New Roman" w:hAnsi="Times New Roman" w:cs="Times New Roman"/>
          <w:b/>
          <w:sz w:val="24"/>
          <w:szCs w:val="24"/>
        </w:rPr>
        <w:t xml:space="preserve">. </w:t>
      </w:r>
      <w:r w:rsidR="007A56B4" w:rsidRPr="00501599">
        <w:rPr>
          <w:rFonts w:ascii="Times New Roman" w:hAnsi="Times New Roman" w:cs="Times New Roman"/>
          <w:b/>
          <w:sz w:val="24"/>
          <w:szCs w:val="24"/>
        </w:rPr>
        <w:t xml:space="preserve">Of these, </w:t>
      </w:r>
      <w:r w:rsidR="00BC7136">
        <w:rPr>
          <w:rFonts w:ascii="Times New Roman" w:hAnsi="Times New Roman" w:cs="Times New Roman"/>
          <w:b/>
          <w:sz w:val="24"/>
          <w:szCs w:val="24"/>
        </w:rPr>
        <w:t>90,429 (21.6</w:t>
      </w:r>
      <w:r w:rsidR="007A56B4" w:rsidRPr="00501599">
        <w:rPr>
          <w:rFonts w:ascii="Times New Roman" w:hAnsi="Times New Roman" w:cs="Times New Roman"/>
          <w:b/>
          <w:sz w:val="24"/>
          <w:szCs w:val="24"/>
        </w:rPr>
        <w:t xml:space="preserve">%) received more than one sanction, and </w:t>
      </w:r>
      <w:r w:rsidR="00BC7136">
        <w:rPr>
          <w:rFonts w:ascii="Times New Roman" w:hAnsi="Times New Roman" w:cs="Times New Roman"/>
          <w:b/>
          <w:sz w:val="24"/>
          <w:szCs w:val="24"/>
        </w:rPr>
        <w:t>21,989 (5.2</w:t>
      </w:r>
      <w:r w:rsidR="007A56B4" w:rsidRPr="00501599">
        <w:rPr>
          <w:rFonts w:ascii="Times New Roman" w:hAnsi="Times New Roman" w:cs="Times New Roman"/>
          <w:b/>
          <w:sz w:val="24"/>
          <w:szCs w:val="24"/>
        </w:rPr>
        <w:t xml:space="preserve">%) received more than two. </w:t>
      </w:r>
      <w:r w:rsidR="00501599" w:rsidRPr="00A06B4A">
        <w:rPr>
          <w:rFonts w:ascii="Times New Roman" w:hAnsi="Times New Roman" w:cs="Times New Roman"/>
          <w:sz w:val="24"/>
          <w:szCs w:val="24"/>
        </w:rPr>
        <w:t>These figures are much higher than</w:t>
      </w:r>
      <w:r w:rsidR="00501599" w:rsidRPr="00501599">
        <w:rPr>
          <w:rFonts w:ascii="Times New Roman" w:hAnsi="Times New Roman" w:cs="Times New Roman"/>
          <w:b/>
          <w:sz w:val="24"/>
          <w:szCs w:val="24"/>
        </w:rPr>
        <w:t xml:space="preserve"> i</w:t>
      </w:r>
      <w:r w:rsidR="00E54AE3" w:rsidRPr="00501599">
        <w:rPr>
          <w:rFonts w:ascii="Times New Roman" w:hAnsi="Times New Roman" w:cs="Times New Roman"/>
          <w:sz w:val="24"/>
          <w:szCs w:val="24"/>
        </w:rPr>
        <w:t>n the last full 12 months before the pandemic, to January 2020,</w:t>
      </w:r>
      <w:r w:rsidR="00501599" w:rsidRPr="00501599">
        <w:rPr>
          <w:rFonts w:ascii="Times New Roman" w:hAnsi="Times New Roman" w:cs="Times New Roman"/>
          <w:sz w:val="24"/>
          <w:szCs w:val="24"/>
        </w:rPr>
        <w:t xml:space="preserve"> when</w:t>
      </w:r>
      <w:r w:rsidR="00E54AE3" w:rsidRPr="00501599">
        <w:rPr>
          <w:rFonts w:ascii="Times New Roman" w:hAnsi="Times New Roman" w:cs="Times New Roman"/>
          <w:sz w:val="24"/>
          <w:szCs w:val="24"/>
        </w:rPr>
        <w:t xml:space="preserve"> there were 230,720 UC sanctions and 178,476 sanctioned individual claimants.</w:t>
      </w:r>
    </w:p>
    <w:p w:rsidR="00BC7136" w:rsidRDefault="00BC7136" w:rsidP="005A40B3">
      <w:pPr>
        <w:rPr>
          <w:rFonts w:ascii="Times New Roman" w:hAnsi="Times New Roman" w:cs="Times New Roman"/>
          <w:sz w:val="24"/>
          <w:szCs w:val="24"/>
        </w:rPr>
      </w:pPr>
    </w:p>
    <w:p w:rsidR="00BC7136" w:rsidRPr="00501599" w:rsidRDefault="00BC7136" w:rsidP="005A40B3">
      <w:pPr>
        <w:rPr>
          <w:rFonts w:ascii="Times New Roman" w:hAnsi="Times New Roman" w:cs="Times New Roman"/>
          <w:sz w:val="24"/>
          <w:szCs w:val="24"/>
        </w:rPr>
      </w:pPr>
      <w:r w:rsidRPr="00AA7DD4">
        <w:rPr>
          <w:rFonts w:ascii="Times New Roman" w:hAnsi="Times New Roman" w:cs="Times New Roman"/>
          <w:b/>
          <w:sz w:val="24"/>
          <w:szCs w:val="24"/>
        </w:rPr>
        <w:t>Figure 3</w:t>
      </w:r>
      <w:r>
        <w:rPr>
          <w:rFonts w:ascii="Times New Roman" w:hAnsi="Times New Roman" w:cs="Times New Roman"/>
          <w:sz w:val="24"/>
          <w:szCs w:val="24"/>
        </w:rPr>
        <w:t xml:space="preserve"> shows the two series for the number of sanctions imposed and the </w:t>
      </w:r>
      <w:r w:rsidR="00AA7DD4">
        <w:rPr>
          <w:rFonts w:ascii="Times New Roman" w:hAnsi="Times New Roman" w:cs="Times New Roman"/>
          <w:sz w:val="24"/>
          <w:szCs w:val="24"/>
        </w:rPr>
        <w:t>number of claimants sanctioned, for the 12-month periods ending in each quarter since January 2020</w:t>
      </w:r>
      <w:r w:rsidR="00A06B4A">
        <w:rPr>
          <w:rFonts w:ascii="Times New Roman" w:hAnsi="Times New Roman" w:cs="Times New Roman"/>
          <w:sz w:val="24"/>
          <w:szCs w:val="24"/>
        </w:rPr>
        <w:t xml:space="preserve"> (just before the pandemic)</w:t>
      </w:r>
      <w:r w:rsidR="00AA7DD4">
        <w:rPr>
          <w:rFonts w:ascii="Times New Roman" w:hAnsi="Times New Roman" w:cs="Times New Roman"/>
          <w:sz w:val="24"/>
          <w:szCs w:val="24"/>
        </w:rPr>
        <w:t>.</w:t>
      </w:r>
    </w:p>
    <w:p w:rsidR="0093714E" w:rsidRPr="00501599" w:rsidRDefault="0093714E" w:rsidP="005A40B3">
      <w:pPr>
        <w:rPr>
          <w:rFonts w:ascii="Times New Roman" w:hAnsi="Times New Roman" w:cs="Times New Roman"/>
          <w:b/>
          <w:sz w:val="32"/>
          <w:szCs w:val="32"/>
        </w:rPr>
      </w:pPr>
    </w:p>
    <w:p w:rsidR="00B00E29" w:rsidRPr="00522814" w:rsidRDefault="00B00E29" w:rsidP="00B00E29">
      <w:pPr>
        <w:rPr>
          <w:rFonts w:ascii="Times New Roman" w:hAnsi="Times New Roman" w:cs="Times New Roman"/>
          <w:b/>
          <w:sz w:val="32"/>
          <w:szCs w:val="32"/>
        </w:rPr>
      </w:pPr>
      <w:r w:rsidRPr="00522814">
        <w:rPr>
          <w:rFonts w:ascii="Times New Roman" w:hAnsi="Times New Roman" w:cs="Times New Roman"/>
          <w:b/>
          <w:sz w:val="32"/>
          <w:szCs w:val="32"/>
        </w:rPr>
        <w:t>Monthly total sanctions on all benefits</w:t>
      </w:r>
      <w:r w:rsidR="00DE0032">
        <w:rPr>
          <w:rFonts w:ascii="Times New Roman" w:hAnsi="Times New Roman" w:cs="Times New Roman"/>
          <w:b/>
          <w:sz w:val="32"/>
          <w:szCs w:val="32"/>
        </w:rPr>
        <w:t xml:space="preserve"> since 2000</w:t>
      </w:r>
    </w:p>
    <w:p w:rsidR="00B00E29" w:rsidRPr="00522814" w:rsidRDefault="00B00E29" w:rsidP="00B00E29">
      <w:pPr>
        <w:rPr>
          <w:rFonts w:ascii="Times New Roman" w:hAnsi="Times New Roman" w:cs="Times New Roman"/>
          <w:b/>
          <w:sz w:val="32"/>
          <w:szCs w:val="32"/>
        </w:rPr>
      </w:pPr>
    </w:p>
    <w:p w:rsidR="00B00E29" w:rsidRPr="00522814" w:rsidRDefault="00B00E29" w:rsidP="00B00E29">
      <w:pPr>
        <w:rPr>
          <w:rFonts w:ascii="Times New Roman" w:hAnsi="Times New Roman" w:cs="Times New Roman"/>
          <w:b/>
          <w:i/>
          <w:sz w:val="24"/>
          <w:szCs w:val="24"/>
        </w:rPr>
      </w:pPr>
      <w:r w:rsidRPr="008A48A1">
        <w:rPr>
          <w:rFonts w:ascii="Times New Roman" w:hAnsi="Times New Roman" w:cs="Times New Roman"/>
          <w:b/>
          <w:sz w:val="24"/>
          <w:szCs w:val="24"/>
        </w:rPr>
        <w:t xml:space="preserve">Figure </w:t>
      </w:r>
      <w:r w:rsidR="00E85A06">
        <w:rPr>
          <w:rFonts w:ascii="Times New Roman" w:hAnsi="Times New Roman" w:cs="Times New Roman"/>
          <w:b/>
          <w:sz w:val="24"/>
          <w:szCs w:val="24"/>
        </w:rPr>
        <w:t>4</w:t>
      </w:r>
      <w:r w:rsidRPr="0093714E">
        <w:rPr>
          <w:rFonts w:ascii="Times New Roman" w:hAnsi="Times New Roman" w:cs="Times New Roman"/>
          <w:color w:val="FF0000"/>
          <w:sz w:val="24"/>
          <w:szCs w:val="24"/>
        </w:rPr>
        <w:t xml:space="preserve"> </w:t>
      </w:r>
      <w:r w:rsidRPr="00522814">
        <w:rPr>
          <w:rFonts w:ascii="Times New Roman" w:hAnsi="Times New Roman" w:cs="Times New Roman"/>
          <w:sz w:val="24"/>
          <w:szCs w:val="24"/>
        </w:rPr>
        <w:t>shows the monthly total number of sanctions on all benefits (UC, JSA, ESA and IS) since the start of the current recording system in April 2000</w:t>
      </w:r>
      <w:r w:rsidR="00501599">
        <w:rPr>
          <w:rFonts w:ascii="Times New Roman" w:hAnsi="Times New Roman" w:cs="Times New Roman"/>
          <w:sz w:val="24"/>
          <w:szCs w:val="24"/>
        </w:rPr>
        <w:t xml:space="preserve">, on the assumption that </w:t>
      </w:r>
      <w:r w:rsidR="00501599" w:rsidRPr="00522814">
        <w:rPr>
          <w:rFonts w:ascii="Times New Roman" w:hAnsi="Times New Roman" w:cs="Times New Roman"/>
          <w:sz w:val="24"/>
          <w:szCs w:val="24"/>
        </w:rPr>
        <w:t>sanctions on JSA, ESA and IS have continued to be negligible</w:t>
      </w:r>
      <w:r w:rsidR="00501599" w:rsidRPr="00501599">
        <w:rPr>
          <w:rFonts w:ascii="Times New Roman" w:hAnsi="Times New Roman" w:cs="Times New Roman"/>
          <w:sz w:val="24"/>
          <w:szCs w:val="24"/>
        </w:rPr>
        <w:t xml:space="preserve"> </w:t>
      </w:r>
      <w:r w:rsidR="00F27927">
        <w:rPr>
          <w:rFonts w:ascii="Times New Roman" w:hAnsi="Times New Roman" w:cs="Times New Roman"/>
          <w:sz w:val="24"/>
          <w:szCs w:val="24"/>
        </w:rPr>
        <w:t xml:space="preserve">after </w:t>
      </w:r>
      <w:r w:rsidR="00501599" w:rsidRPr="00522814">
        <w:rPr>
          <w:rFonts w:ascii="Times New Roman" w:hAnsi="Times New Roman" w:cs="Times New Roman"/>
          <w:sz w:val="24"/>
          <w:szCs w:val="24"/>
        </w:rPr>
        <w:t>May 2022</w:t>
      </w:r>
      <w:r w:rsidR="00F27927">
        <w:rPr>
          <w:rFonts w:ascii="Times New Roman" w:hAnsi="Times New Roman" w:cs="Times New Roman"/>
          <w:sz w:val="24"/>
          <w:szCs w:val="24"/>
        </w:rPr>
        <w:t>, when reporting on the latter three benefits stopped</w:t>
      </w:r>
      <w:r w:rsidR="00501599" w:rsidRPr="00522814">
        <w:rPr>
          <w:rFonts w:ascii="Times New Roman" w:hAnsi="Times New Roman" w:cs="Times New Roman"/>
          <w:sz w:val="24"/>
          <w:szCs w:val="24"/>
        </w:rPr>
        <w:t>.</w:t>
      </w:r>
      <w:r w:rsidRPr="00522814">
        <w:rPr>
          <w:rFonts w:ascii="Times New Roman" w:hAnsi="Times New Roman" w:cs="Times New Roman"/>
          <w:sz w:val="24"/>
          <w:szCs w:val="24"/>
        </w:rPr>
        <w:t xml:space="preserve"> </w:t>
      </w:r>
      <w:r w:rsidR="00501599">
        <w:rPr>
          <w:rFonts w:ascii="Times New Roman" w:hAnsi="Times New Roman" w:cs="Times New Roman"/>
          <w:sz w:val="24"/>
          <w:szCs w:val="24"/>
        </w:rPr>
        <w:t>Even if this assumption is incorrect, t</w:t>
      </w:r>
      <w:r w:rsidRPr="00522814">
        <w:rPr>
          <w:rFonts w:ascii="Times New Roman" w:hAnsi="Times New Roman" w:cs="Times New Roman"/>
          <w:sz w:val="24"/>
          <w:szCs w:val="24"/>
        </w:rPr>
        <w:t>he</w:t>
      </w:r>
      <w:r w:rsidR="00F27927">
        <w:rPr>
          <w:rFonts w:ascii="Times New Roman" w:hAnsi="Times New Roman" w:cs="Times New Roman"/>
          <w:sz w:val="24"/>
          <w:szCs w:val="24"/>
        </w:rPr>
        <w:t xml:space="preserve"> monthly</w:t>
      </w:r>
      <w:r w:rsidRPr="00522814">
        <w:rPr>
          <w:rFonts w:ascii="Times New Roman" w:hAnsi="Times New Roman" w:cs="Times New Roman"/>
          <w:sz w:val="24"/>
          <w:szCs w:val="24"/>
        </w:rPr>
        <w:t xml:space="preserve"> </w:t>
      </w:r>
      <w:r w:rsidR="00DE0032">
        <w:rPr>
          <w:rFonts w:ascii="Times New Roman" w:hAnsi="Times New Roman" w:cs="Times New Roman"/>
          <w:sz w:val="24"/>
          <w:szCs w:val="24"/>
        </w:rPr>
        <w:t>average</w:t>
      </w:r>
      <w:r w:rsidRPr="00522814">
        <w:rPr>
          <w:rFonts w:ascii="Times New Roman" w:hAnsi="Times New Roman" w:cs="Times New Roman"/>
          <w:sz w:val="24"/>
          <w:szCs w:val="24"/>
        </w:rPr>
        <w:t xml:space="preserve"> </w:t>
      </w:r>
      <w:r w:rsidR="00F27927">
        <w:rPr>
          <w:rFonts w:ascii="Times New Roman" w:hAnsi="Times New Roman" w:cs="Times New Roman"/>
          <w:sz w:val="24"/>
          <w:szCs w:val="24"/>
        </w:rPr>
        <w:t xml:space="preserve">for latest quarter, </w:t>
      </w:r>
      <w:r w:rsidRPr="00522814">
        <w:rPr>
          <w:rFonts w:ascii="Times New Roman" w:hAnsi="Times New Roman" w:cs="Times New Roman"/>
          <w:sz w:val="24"/>
          <w:szCs w:val="24"/>
        </w:rPr>
        <w:t>a</w:t>
      </w:r>
      <w:r w:rsidR="00DE0032">
        <w:rPr>
          <w:rFonts w:ascii="Times New Roman" w:hAnsi="Times New Roman" w:cs="Times New Roman"/>
          <w:sz w:val="24"/>
          <w:szCs w:val="24"/>
        </w:rPr>
        <w:t>lmost 50</w:t>
      </w:r>
      <w:r w:rsidRPr="00522814">
        <w:rPr>
          <w:rFonts w:ascii="Times New Roman" w:hAnsi="Times New Roman" w:cs="Times New Roman"/>
          <w:sz w:val="24"/>
          <w:szCs w:val="24"/>
        </w:rPr>
        <w:t>,000</w:t>
      </w:r>
      <w:r w:rsidR="00F27927">
        <w:rPr>
          <w:rFonts w:ascii="Times New Roman" w:hAnsi="Times New Roman" w:cs="Times New Roman"/>
          <w:sz w:val="24"/>
          <w:szCs w:val="24"/>
        </w:rPr>
        <w:t>,</w:t>
      </w:r>
      <w:r w:rsidRPr="00522814">
        <w:rPr>
          <w:rFonts w:ascii="Times New Roman" w:hAnsi="Times New Roman" w:cs="Times New Roman"/>
          <w:sz w:val="24"/>
          <w:szCs w:val="24"/>
        </w:rPr>
        <w:t xml:space="preserve"> is higher than at any time other than the coalition government’s sanctions campaign of 2010 to 2015. </w:t>
      </w:r>
    </w:p>
    <w:p w:rsidR="00B00E29" w:rsidRDefault="00B00E29" w:rsidP="00B00E29">
      <w:pPr>
        <w:rPr>
          <w:rFonts w:ascii="Times New Roman" w:hAnsi="Times New Roman" w:cs="Times New Roman"/>
          <w:b/>
          <w:i/>
          <w:sz w:val="24"/>
          <w:szCs w:val="24"/>
        </w:rPr>
      </w:pPr>
    </w:p>
    <w:p w:rsidR="002A3A21" w:rsidRPr="00917EFA" w:rsidRDefault="002A3A21" w:rsidP="002A3A21">
      <w:pPr>
        <w:pStyle w:val="NormalWeb"/>
        <w:spacing w:before="0" w:beforeAutospacing="0" w:after="0" w:afterAutospacing="0"/>
        <w:rPr>
          <w:b/>
          <w:sz w:val="32"/>
          <w:szCs w:val="32"/>
        </w:rPr>
      </w:pPr>
      <w:r w:rsidRPr="00917EFA">
        <w:rPr>
          <w:b/>
          <w:sz w:val="32"/>
          <w:szCs w:val="32"/>
        </w:rPr>
        <w:t xml:space="preserve">Reasons for Universal Credit sanctions </w:t>
      </w:r>
    </w:p>
    <w:p w:rsidR="002A3A21" w:rsidRPr="00917EFA" w:rsidRDefault="002A3A21" w:rsidP="002A3A21">
      <w:pPr>
        <w:pStyle w:val="NormalWeb"/>
        <w:spacing w:before="0" w:beforeAutospacing="0" w:after="0" w:afterAutospacing="0"/>
      </w:pPr>
    </w:p>
    <w:p w:rsidR="007C1A76" w:rsidRDefault="001A6CA5" w:rsidP="002A3A21">
      <w:pPr>
        <w:pStyle w:val="text"/>
        <w:spacing w:before="0" w:beforeAutospacing="0" w:after="0" w:afterAutospacing="0"/>
      </w:pPr>
      <w:r>
        <w:t xml:space="preserve">Thanks to the new data published by DWP, it is now possible to show in </w:t>
      </w:r>
      <w:r w:rsidRPr="00620EE1">
        <w:rPr>
          <w:b/>
        </w:rPr>
        <w:t>Figure 5</w:t>
      </w:r>
      <w:r>
        <w:t xml:space="preserve"> how the reasons for UC sanctions (both Full and Live Service) have varied over the whole period since August 2015.</w:t>
      </w:r>
      <w:r w:rsidR="0047525E">
        <w:rPr>
          <w:rStyle w:val="EndnoteReference"/>
        </w:rPr>
        <w:endnoteReference w:id="4"/>
      </w:r>
      <w:r w:rsidR="00620EE1">
        <w:t xml:space="preserve"> The reason </w:t>
      </w:r>
      <w:r w:rsidR="00620EE1" w:rsidRPr="00917EFA">
        <w:t>‘Failure to attend or participate in a Work-Focused Interview’</w:t>
      </w:r>
      <w:r w:rsidR="00620EE1">
        <w:t xml:space="preserve"> has been dominant throughout and in recent years sanctions for any other reason have fallen to almost nothing. In the latest quarter there were 140,850 sanctions (94.8%) for missed interviews, and only 7,700 for any other reason. </w:t>
      </w:r>
      <w:r w:rsidR="007C1A76">
        <w:t>By contrast, i</w:t>
      </w:r>
      <w:r w:rsidR="00620EE1">
        <w:t>n the period 2016-18 there were significant numbers of sanctions</w:t>
      </w:r>
      <w:r w:rsidR="00F27927" w:rsidRPr="00F27927">
        <w:t xml:space="preserve"> </w:t>
      </w:r>
      <w:r w:rsidR="00F27927">
        <w:t>for other reasons</w:t>
      </w:r>
      <w:r w:rsidR="00620EE1">
        <w:t xml:space="preserve">, sometimes in the low </w:t>
      </w:r>
      <w:r w:rsidR="00620EE1">
        <w:lastRenderedPageBreak/>
        <w:t>thousands, particularly Availability</w:t>
      </w:r>
      <w:r w:rsidR="008A2455">
        <w:t xml:space="preserve"> (peaking at 10,180 in November 2018)</w:t>
      </w:r>
      <w:r w:rsidR="00620EE1">
        <w:t>, non-participation in employment programmes</w:t>
      </w:r>
      <w:r w:rsidR="008A2455">
        <w:t xml:space="preserve"> (peak 5,188 in September 2017)</w:t>
      </w:r>
      <w:r w:rsidR="00620EE1">
        <w:t>, and voluntary leaving/misconduct</w:t>
      </w:r>
      <w:r w:rsidR="008A2455">
        <w:t xml:space="preserve"> (peak 3,572 in January 2017)</w:t>
      </w:r>
      <w:r w:rsidR="00620EE1">
        <w:t xml:space="preserve">. </w:t>
      </w:r>
    </w:p>
    <w:p w:rsidR="007C1A76" w:rsidRDefault="007C1A76" w:rsidP="002A3A21">
      <w:pPr>
        <w:pStyle w:val="text"/>
        <w:spacing w:before="0" w:beforeAutospacing="0" w:after="0" w:afterAutospacing="0"/>
      </w:pPr>
    </w:p>
    <w:p w:rsidR="001A6CA5" w:rsidRDefault="00620EE1" w:rsidP="002A3A21">
      <w:pPr>
        <w:pStyle w:val="text"/>
        <w:spacing w:before="0" w:beforeAutospacing="0" w:after="0" w:afterAutospacing="0"/>
      </w:pPr>
      <w:r w:rsidRPr="00BC76E8">
        <w:rPr>
          <w:b/>
        </w:rPr>
        <w:t>Figure 6</w:t>
      </w:r>
      <w:r>
        <w:t xml:space="preserve"> specifically shows the changing share of missed interviews within total sanctions. </w:t>
      </w:r>
      <w:r w:rsidR="00BC76E8">
        <w:t xml:space="preserve">Between August 2015 and August 2018 there was an upward drift from about two-thirds to about three-quarters. There was then a sharp upward hike in October and November 2018 to a new level of over 90%. </w:t>
      </w:r>
      <w:r w:rsidR="008A2455">
        <w:t xml:space="preserve">Since claimants do not change their behaviour as quickly as that, DWP centrally must have taken some action to cause this, but we do not know what it was. The share of interviews within total sanctions reached almost 100% when face-to-face interviews resumed </w:t>
      </w:r>
      <w:r w:rsidR="00F27927">
        <w:t xml:space="preserve">in April 2021 </w:t>
      </w:r>
      <w:r w:rsidR="008A2455">
        <w:t>after the pandemic, but has drifted down a little since then, to 94.2% in October 2023.</w:t>
      </w:r>
    </w:p>
    <w:p w:rsidR="008A2455" w:rsidRDefault="008A2455" w:rsidP="008A2455">
      <w:pPr>
        <w:pStyle w:val="text"/>
      </w:pPr>
      <w:r>
        <w:t xml:space="preserve">Previous issues of the Briefing have suggested that the rise in the share of interviews in total sanctions has been due to the category being used for other ‘failures’. However an informant within DWP has suggested a different interpretation. They </w:t>
      </w:r>
      <w:r w:rsidR="00E57B35">
        <w:t>say that work coaches avoid the other reasons because they are more complex and take up more time; this is particularly important at present because understaffing is extreme and staff are overstretched, as discussed in the November 2023 Briefing, pp</w:t>
      </w:r>
      <w:r w:rsidR="00E57B35" w:rsidRPr="001C0FDE">
        <w:t>. 9-10</w:t>
      </w:r>
      <w:r w:rsidR="00D550FF" w:rsidRPr="001C0FDE">
        <w:t>, and below (p.1</w:t>
      </w:r>
      <w:r w:rsidR="001C0FDE" w:rsidRPr="001C0FDE">
        <w:t>1</w:t>
      </w:r>
      <w:r w:rsidR="00D550FF" w:rsidRPr="001C0FDE">
        <w:t>)</w:t>
      </w:r>
      <w:r w:rsidR="00E57B35" w:rsidRPr="001C0FDE">
        <w:t>. Whether</w:t>
      </w:r>
      <w:r w:rsidR="00E57B35">
        <w:t xml:space="preserve"> a claimant attends an interview or not is a simple question for the work coach, even though the offering of</w:t>
      </w:r>
      <w:r w:rsidR="00B76681">
        <w:t xml:space="preserve"> </w:t>
      </w:r>
      <w:r w:rsidR="00E57B35">
        <w:t xml:space="preserve">‘good reasons’ by claimants and their assessment by a decision maker will often not be. </w:t>
      </w:r>
    </w:p>
    <w:p w:rsidR="00235BFB" w:rsidRDefault="006C54E5" w:rsidP="005A40B3">
      <w:pPr>
        <w:rPr>
          <w:rFonts w:ascii="Times New Roman" w:hAnsi="Times New Roman" w:cs="Times New Roman"/>
          <w:b/>
          <w:sz w:val="32"/>
          <w:szCs w:val="32"/>
        </w:rPr>
      </w:pPr>
      <w:r>
        <w:rPr>
          <w:rFonts w:ascii="Times New Roman" w:hAnsi="Times New Roman" w:cs="Times New Roman"/>
          <w:b/>
          <w:sz w:val="32"/>
          <w:szCs w:val="32"/>
        </w:rPr>
        <w:t>Sanction ‘levels’</w:t>
      </w:r>
    </w:p>
    <w:p w:rsidR="006C54E5" w:rsidRPr="006C54E5" w:rsidRDefault="006C54E5" w:rsidP="005A40B3">
      <w:pPr>
        <w:rPr>
          <w:rFonts w:ascii="Times New Roman" w:hAnsi="Times New Roman" w:cs="Times New Roman"/>
          <w:sz w:val="24"/>
          <w:szCs w:val="24"/>
        </w:rPr>
      </w:pPr>
    </w:p>
    <w:p w:rsidR="004E562C" w:rsidRDefault="006C54E5" w:rsidP="004E562C">
      <w:pPr>
        <w:rPr>
          <w:rFonts w:ascii="Times New Roman" w:hAnsi="Times New Roman" w:cs="Times New Roman"/>
          <w:sz w:val="24"/>
          <w:szCs w:val="24"/>
        </w:rPr>
      </w:pPr>
      <w:r w:rsidRPr="006C54E5">
        <w:rPr>
          <w:rFonts w:ascii="Times New Roman" w:hAnsi="Times New Roman" w:cs="Times New Roman"/>
          <w:sz w:val="24"/>
          <w:szCs w:val="24"/>
        </w:rPr>
        <w:t>UC sanctions are imposed at four different levels: Lowest, Low, Medium and High</w:t>
      </w:r>
      <w:r>
        <w:rPr>
          <w:rFonts w:ascii="Times New Roman" w:hAnsi="Times New Roman" w:cs="Times New Roman"/>
          <w:sz w:val="24"/>
          <w:szCs w:val="24"/>
        </w:rPr>
        <w:t xml:space="preserve">. </w:t>
      </w:r>
      <w:r w:rsidR="004E562C">
        <w:rPr>
          <w:rFonts w:ascii="Times New Roman" w:hAnsi="Times New Roman" w:cs="Times New Roman"/>
          <w:sz w:val="24"/>
          <w:szCs w:val="24"/>
        </w:rPr>
        <w:t xml:space="preserve">These are explained in the publication </w:t>
      </w:r>
      <w:r w:rsidR="004E562C" w:rsidRPr="004E562C">
        <w:rPr>
          <w:rFonts w:ascii="Times New Roman" w:hAnsi="Times New Roman" w:cs="Times New Roman"/>
          <w:i/>
          <w:sz w:val="24"/>
          <w:szCs w:val="24"/>
        </w:rPr>
        <w:t>Universal Credit Sanctions Statistics: Background information and methodology</w:t>
      </w:r>
      <w:r w:rsidR="004E562C">
        <w:rPr>
          <w:rFonts w:ascii="Times New Roman" w:hAnsi="Times New Roman" w:cs="Times New Roman"/>
          <w:sz w:val="24"/>
          <w:szCs w:val="24"/>
        </w:rPr>
        <w:t xml:space="preserve">, at </w:t>
      </w:r>
      <w:hyperlink r:id="rId15" w:history="1">
        <w:r w:rsidR="004E562C" w:rsidRPr="00F14BB8">
          <w:rPr>
            <w:rStyle w:val="Hyperlink"/>
            <w:rFonts w:ascii="Times New Roman" w:hAnsi="Times New Roman" w:cs="Times New Roman"/>
            <w:sz w:val="24"/>
            <w:szCs w:val="24"/>
          </w:rPr>
          <w:t>https://www.gov.uk/government/publications/universal-credit-sanctions-statistics-background-information-and-methodology/a</w:t>
        </w:r>
      </w:hyperlink>
      <w:r w:rsidR="004E562C">
        <w:rPr>
          <w:rFonts w:ascii="Times New Roman" w:hAnsi="Times New Roman" w:cs="Times New Roman"/>
          <w:sz w:val="24"/>
          <w:szCs w:val="24"/>
        </w:rPr>
        <w:t xml:space="preserve"> </w:t>
      </w:r>
      <w:r w:rsidR="002A3A21">
        <w:rPr>
          <w:rFonts w:ascii="Times New Roman" w:hAnsi="Times New Roman" w:cs="Times New Roman"/>
          <w:sz w:val="24"/>
          <w:szCs w:val="24"/>
        </w:rPr>
        <w:t xml:space="preserve"> </w:t>
      </w:r>
      <w:proofErr w:type="gramStart"/>
      <w:r w:rsidR="002A3A21">
        <w:rPr>
          <w:rFonts w:ascii="Times New Roman" w:hAnsi="Times New Roman" w:cs="Times New Roman"/>
          <w:sz w:val="24"/>
          <w:szCs w:val="24"/>
        </w:rPr>
        <w:t>The</w:t>
      </w:r>
      <w:proofErr w:type="gramEnd"/>
      <w:r w:rsidR="002A3A21">
        <w:rPr>
          <w:rFonts w:ascii="Times New Roman" w:hAnsi="Times New Roman" w:cs="Times New Roman"/>
          <w:sz w:val="24"/>
          <w:szCs w:val="24"/>
        </w:rPr>
        <w:t xml:space="preserve"> different levels are attached to different types of ‘failure’. ‘Low’ and ‘lowest’ are misnomers in that they can both last indefinitely</w:t>
      </w:r>
      <w:r w:rsidR="00D3171A">
        <w:rPr>
          <w:rFonts w:ascii="Times New Roman" w:hAnsi="Times New Roman" w:cs="Times New Roman"/>
          <w:sz w:val="24"/>
          <w:szCs w:val="24"/>
        </w:rPr>
        <w:t>, because they apply ‘until compliance’, and in the case of ‘low’ with a penalty on top. They</w:t>
      </w:r>
      <w:r w:rsidR="002A3A21">
        <w:rPr>
          <w:rFonts w:ascii="Times New Roman" w:hAnsi="Times New Roman" w:cs="Times New Roman"/>
          <w:sz w:val="24"/>
          <w:szCs w:val="24"/>
        </w:rPr>
        <w:t xml:space="preserve"> </w:t>
      </w:r>
      <w:r w:rsidR="00CD4AD3">
        <w:rPr>
          <w:rFonts w:ascii="Times New Roman" w:hAnsi="Times New Roman" w:cs="Times New Roman"/>
          <w:sz w:val="24"/>
          <w:szCs w:val="24"/>
        </w:rPr>
        <w:t xml:space="preserve">may </w:t>
      </w:r>
      <w:r w:rsidR="002A3A21">
        <w:rPr>
          <w:rFonts w:ascii="Times New Roman" w:hAnsi="Times New Roman" w:cs="Times New Roman"/>
          <w:sz w:val="24"/>
          <w:szCs w:val="24"/>
        </w:rPr>
        <w:t>therefore end up more severe than ‘medium’ or ‘high’.</w:t>
      </w:r>
    </w:p>
    <w:p w:rsidR="00205E0A" w:rsidRDefault="00205E0A" w:rsidP="004E562C">
      <w:pPr>
        <w:rPr>
          <w:rFonts w:ascii="Times New Roman" w:hAnsi="Times New Roman" w:cs="Times New Roman"/>
          <w:sz w:val="24"/>
          <w:szCs w:val="24"/>
        </w:rPr>
      </w:pPr>
    </w:p>
    <w:p w:rsidR="005B3CE4" w:rsidRDefault="00205E0A" w:rsidP="00205E0A">
      <w:pPr>
        <w:pStyle w:val="ListParagraph"/>
        <w:numPr>
          <w:ilvl w:val="0"/>
          <w:numId w:val="48"/>
        </w:numPr>
        <w:rPr>
          <w:rFonts w:ascii="Times New Roman" w:hAnsi="Times New Roman" w:cs="Times New Roman"/>
          <w:sz w:val="24"/>
          <w:szCs w:val="24"/>
        </w:rPr>
      </w:pPr>
      <w:r w:rsidRPr="005B3CE4">
        <w:rPr>
          <w:rFonts w:ascii="Times New Roman" w:hAnsi="Times New Roman" w:cs="Times New Roman"/>
          <w:sz w:val="24"/>
          <w:szCs w:val="24"/>
        </w:rPr>
        <w:t>‘Lowest’ level sanctions last until the claimant attends or takes part in an interview, or moves to a no-conditionality group.</w:t>
      </w:r>
    </w:p>
    <w:p w:rsidR="005B3CE4" w:rsidRDefault="00205E0A" w:rsidP="00205E0A">
      <w:pPr>
        <w:pStyle w:val="ListParagraph"/>
        <w:numPr>
          <w:ilvl w:val="0"/>
          <w:numId w:val="48"/>
        </w:numPr>
        <w:rPr>
          <w:rFonts w:ascii="Times New Roman" w:hAnsi="Times New Roman" w:cs="Times New Roman"/>
          <w:sz w:val="24"/>
          <w:szCs w:val="24"/>
        </w:rPr>
      </w:pPr>
      <w:r w:rsidRPr="005B3CE4">
        <w:rPr>
          <w:rFonts w:ascii="Times New Roman" w:hAnsi="Times New Roman" w:cs="Times New Roman"/>
          <w:sz w:val="24"/>
          <w:szCs w:val="24"/>
        </w:rPr>
        <w:t>‘Low</w:t>
      </w:r>
      <w:r w:rsidR="005B3CE4" w:rsidRPr="005B3CE4">
        <w:rPr>
          <w:rFonts w:ascii="Times New Roman" w:hAnsi="Times New Roman" w:cs="Times New Roman"/>
          <w:sz w:val="24"/>
          <w:szCs w:val="24"/>
        </w:rPr>
        <w:t>’</w:t>
      </w:r>
      <w:r w:rsidRPr="005B3CE4">
        <w:rPr>
          <w:rFonts w:ascii="Times New Roman" w:hAnsi="Times New Roman" w:cs="Times New Roman"/>
          <w:sz w:val="24"/>
          <w:szCs w:val="24"/>
        </w:rPr>
        <w:t xml:space="preserve"> level</w:t>
      </w:r>
      <w:r w:rsidR="005B3CE4" w:rsidRPr="005B3CE4">
        <w:rPr>
          <w:rFonts w:ascii="Times New Roman" w:hAnsi="Times New Roman" w:cs="Times New Roman"/>
          <w:sz w:val="24"/>
          <w:szCs w:val="24"/>
        </w:rPr>
        <w:t xml:space="preserve"> </w:t>
      </w:r>
      <w:r w:rsidRPr="005B3CE4">
        <w:rPr>
          <w:rFonts w:ascii="Times New Roman" w:hAnsi="Times New Roman" w:cs="Times New Roman"/>
          <w:sz w:val="24"/>
          <w:szCs w:val="24"/>
        </w:rPr>
        <w:t>sanction</w:t>
      </w:r>
      <w:r w:rsidR="005B3CE4" w:rsidRPr="005B3CE4">
        <w:rPr>
          <w:rFonts w:ascii="Times New Roman" w:hAnsi="Times New Roman" w:cs="Times New Roman"/>
          <w:sz w:val="24"/>
          <w:szCs w:val="24"/>
        </w:rPr>
        <w:t>s</w:t>
      </w:r>
      <w:r w:rsidRPr="005B3CE4">
        <w:rPr>
          <w:rFonts w:ascii="Times New Roman" w:hAnsi="Times New Roman" w:cs="Times New Roman"/>
          <w:sz w:val="24"/>
          <w:szCs w:val="24"/>
        </w:rPr>
        <w:t xml:space="preserve"> last until the claimant does what they previously </w:t>
      </w:r>
      <w:r w:rsidR="005B3CE4" w:rsidRPr="005B3CE4">
        <w:rPr>
          <w:rFonts w:ascii="Times New Roman" w:hAnsi="Times New Roman" w:cs="Times New Roman"/>
          <w:sz w:val="24"/>
          <w:szCs w:val="24"/>
        </w:rPr>
        <w:t>‘</w:t>
      </w:r>
      <w:r w:rsidRPr="005B3CE4">
        <w:rPr>
          <w:rFonts w:ascii="Times New Roman" w:hAnsi="Times New Roman" w:cs="Times New Roman"/>
          <w:sz w:val="24"/>
          <w:szCs w:val="24"/>
        </w:rPr>
        <w:t>failed</w:t>
      </w:r>
      <w:r w:rsidR="005B3CE4" w:rsidRPr="005B3CE4">
        <w:rPr>
          <w:rFonts w:ascii="Times New Roman" w:hAnsi="Times New Roman" w:cs="Times New Roman"/>
          <w:sz w:val="24"/>
          <w:szCs w:val="24"/>
        </w:rPr>
        <w:t>’</w:t>
      </w:r>
      <w:r w:rsidRPr="005B3CE4">
        <w:rPr>
          <w:rFonts w:ascii="Times New Roman" w:hAnsi="Times New Roman" w:cs="Times New Roman"/>
          <w:sz w:val="24"/>
          <w:szCs w:val="24"/>
        </w:rPr>
        <w:t xml:space="preserve"> to do or the requirement is no longer appropriate</w:t>
      </w:r>
      <w:r w:rsidR="005B3CE4" w:rsidRPr="005B3CE4">
        <w:rPr>
          <w:rFonts w:ascii="Times New Roman" w:hAnsi="Times New Roman" w:cs="Times New Roman"/>
          <w:sz w:val="24"/>
          <w:szCs w:val="24"/>
        </w:rPr>
        <w:t>,</w:t>
      </w:r>
      <w:r w:rsidRPr="005B3CE4">
        <w:rPr>
          <w:rFonts w:ascii="Times New Roman" w:hAnsi="Times New Roman" w:cs="Times New Roman"/>
          <w:sz w:val="24"/>
          <w:szCs w:val="24"/>
        </w:rPr>
        <w:t xml:space="preserve"> plus 7, 14 or 28 days for the first, second or third low level sanction in any 12-month period.</w:t>
      </w:r>
    </w:p>
    <w:p w:rsidR="005B3CE4" w:rsidRDefault="005B3CE4" w:rsidP="00205E0A">
      <w:pPr>
        <w:pStyle w:val="ListParagraph"/>
        <w:numPr>
          <w:ilvl w:val="0"/>
          <w:numId w:val="48"/>
        </w:numPr>
        <w:rPr>
          <w:rFonts w:ascii="Times New Roman" w:hAnsi="Times New Roman" w:cs="Times New Roman"/>
          <w:sz w:val="24"/>
          <w:szCs w:val="24"/>
        </w:rPr>
      </w:pPr>
      <w:r w:rsidRPr="005B3CE4">
        <w:rPr>
          <w:rFonts w:ascii="Times New Roman" w:hAnsi="Times New Roman" w:cs="Times New Roman"/>
          <w:sz w:val="24"/>
          <w:szCs w:val="24"/>
        </w:rPr>
        <w:t>‘</w:t>
      </w:r>
      <w:r w:rsidR="00205E0A" w:rsidRPr="005B3CE4">
        <w:rPr>
          <w:rFonts w:ascii="Times New Roman" w:hAnsi="Times New Roman" w:cs="Times New Roman"/>
          <w:sz w:val="24"/>
          <w:szCs w:val="24"/>
        </w:rPr>
        <w:t xml:space="preserve"> Medium</w:t>
      </w:r>
      <w:r w:rsidRPr="005B3CE4">
        <w:rPr>
          <w:rFonts w:ascii="Times New Roman" w:hAnsi="Times New Roman" w:cs="Times New Roman"/>
          <w:sz w:val="24"/>
          <w:szCs w:val="24"/>
        </w:rPr>
        <w:t>’</w:t>
      </w:r>
      <w:r w:rsidR="00205E0A" w:rsidRPr="005B3CE4">
        <w:rPr>
          <w:rFonts w:ascii="Times New Roman" w:hAnsi="Times New Roman" w:cs="Times New Roman"/>
          <w:sz w:val="24"/>
          <w:szCs w:val="24"/>
        </w:rPr>
        <w:t xml:space="preserve"> level</w:t>
      </w:r>
      <w:r w:rsidRPr="005B3CE4">
        <w:rPr>
          <w:rFonts w:ascii="Times New Roman" w:hAnsi="Times New Roman" w:cs="Times New Roman"/>
          <w:sz w:val="24"/>
          <w:szCs w:val="24"/>
        </w:rPr>
        <w:t xml:space="preserve"> s</w:t>
      </w:r>
      <w:r w:rsidR="00205E0A" w:rsidRPr="005B3CE4">
        <w:rPr>
          <w:rFonts w:ascii="Times New Roman" w:hAnsi="Times New Roman" w:cs="Times New Roman"/>
          <w:sz w:val="24"/>
          <w:szCs w:val="24"/>
        </w:rPr>
        <w:t>anction</w:t>
      </w:r>
      <w:r w:rsidRPr="005B3CE4">
        <w:rPr>
          <w:rFonts w:ascii="Times New Roman" w:hAnsi="Times New Roman" w:cs="Times New Roman"/>
          <w:sz w:val="24"/>
          <w:szCs w:val="24"/>
        </w:rPr>
        <w:t>s</w:t>
      </w:r>
      <w:r w:rsidR="00205E0A" w:rsidRPr="005B3CE4">
        <w:rPr>
          <w:rFonts w:ascii="Times New Roman" w:hAnsi="Times New Roman" w:cs="Times New Roman"/>
          <w:sz w:val="24"/>
          <w:szCs w:val="24"/>
        </w:rPr>
        <w:t xml:space="preserve"> last 28 days for the first sanction in any 12 month period, and 91 days (approximately 3 months) for a second </w:t>
      </w:r>
      <w:r w:rsidRPr="005B3CE4">
        <w:rPr>
          <w:rFonts w:ascii="Times New Roman" w:hAnsi="Times New Roman" w:cs="Times New Roman"/>
          <w:sz w:val="24"/>
          <w:szCs w:val="24"/>
        </w:rPr>
        <w:t xml:space="preserve">or subsequent </w:t>
      </w:r>
      <w:r w:rsidR="00205E0A" w:rsidRPr="005B3CE4">
        <w:rPr>
          <w:rFonts w:ascii="Times New Roman" w:hAnsi="Times New Roman" w:cs="Times New Roman"/>
          <w:sz w:val="24"/>
          <w:szCs w:val="24"/>
        </w:rPr>
        <w:t>medium level sanction</w:t>
      </w:r>
    </w:p>
    <w:p w:rsidR="00205E0A" w:rsidRPr="005B3CE4" w:rsidRDefault="005B3CE4" w:rsidP="00205E0A">
      <w:pPr>
        <w:pStyle w:val="ListParagraph"/>
        <w:numPr>
          <w:ilvl w:val="0"/>
          <w:numId w:val="48"/>
        </w:numPr>
        <w:rPr>
          <w:rFonts w:ascii="Times New Roman" w:hAnsi="Times New Roman" w:cs="Times New Roman"/>
          <w:sz w:val="24"/>
          <w:szCs w:val="24"/>
        </w:rPr>
      </w:pPr>
      <w:r w:rsidRPr="005B3CE4">
        <w:rPr>
          <w:rFonts w:ascii="Times New Roman" w:hAnsi="Times New Roman" w:cs="Times New Roman"/>
          <w:sz w:val="24"/>
          <w:szCs w:val="24"/>
        </w:rPr>
        <w:t>‘</w:t>
      </w:r>
      <w:r w:rsidR="00205E0A" w:rsidRPr="005B3CE4">
        <w:rPr>
          <w:rFonts w:ascii="Times New Roman" w:hAnsi="Times New Roman" w:cs="Times New Roman"/>
          <w:sz w:val="24"/>
          <w:szCs w:val="24"/>
        </w:rPr>
        <w:t>High</w:t>
      </w:r>
      <w:r w:rsidRPr="005B3CE4">
        <w:rPr>
          <w:rFonts w:ascii="Times New Roman" w:hAnsi="Times New Roman" w:cs="Times New Roman"/>
          <w:sz w:val="24"/>
          <w:szCs w:val="24"/>
        </w:rPr>
        <w:t>’</w:t>
      </w:r>
      <w:r w:rsidR="00205E0A" w:rsidRPr="005B3CE4">
        <w:rPr>
          <w:rFonts w:ascii="Times New Roman" w:hAnsi="Times New Roman" w:cs="Times New Roman"/>
          <w:sz w:val="24"/>
          <w:szCs w:val="24"/>
        </w:rPr>
        <w:t xml:space="preserve"> level</w:t>
      </w:r>
      <w:r w:rsidRPr="005B3CE4">
        <w:rPr>
          <w:rFonts w:ascii="Times New Roman" w:hAnsi="Times New Roman" w:cs="Times New Roman"/>
          <w:sz w:val="24"/>
          <w:szCs w:val="24"/>
        </w:rPr>
        <w:t xml:space="preserve"> </w:t>
      </w:r>
      <w:r w:rsidR="00205E0A" w:rsidRPr="005B3CE4">
        <w:rPr>
          <w:rFonts w:ascii="Times New Roman" w:hAnsi="Times New Roman" w:cs="Times New Roman"/>
          <w:sz w:val="24"/>
          <w:szCs w:val="24"/>
        </w:rPr>
        <w:t>sanction</w:t>
      </w:r>
      <w:r w:rsidRPr="005B3CE4">
        <w:rPr>
          <w:rFonts w:ascii="Times New Roman" w:hAnsi="Times New Roman" w:cs="Times New Roman"/>
          <w:sz w:val="24"/>
          <w:szCs w:val="24"/>
        </w:rPr>
        <w:t>s</w:t>
      </w:r>
      <w:r w:rsidR="00205E0A" w:rsidRPr="005B3CE4">
        <w:rPr>
          <w:rFonts w:ascii="Times New Roman" w:hAnsi="Times New Roman" w:cs="Times New Roman"/>
          <w:sz w:val="24"/>
          <w:szCs w:val="24"/>
        </w:rPr>
        <w:t xml:space="preserve"> last for 91 days (approximately 3 months) for the first sanction in any 12-month period and 182 days (approximately 6 months) for a second high level sanction.</w:t>
      </w:r>
    </w:p>
    <w:p w:rsidR="009B1DFA" w:rsidRDefault="009B1DFA" w:rsidP="004E562C">
      <w:pPr>
        <w:rPr>
          <w:rFonts w:ascii="Times New Roman" w:hAnsi="Times New Roman" w:cs="Times New Roman"/>
          <w:sz w:val="24"/>
          <w:szCs w:val="24"/>
        </w:rPr>
      </w:pPr>
    </w:p>
    <w:p w:rsidR="009B1DFA" w:rsidRPr="004E562C" w:rsidRDefault="009B1DFA" w:rsidP="004E562C">
      <w:pPr>
        <w:rPr>
          <w:rFonts w:ascii="Times New Roman" w:hAnsi="Times New Roman" w:cs="Times New Roman"/>
          <w:sz w:val="24"/>
          <w:szCs w:val="24"/>
        </w:rPr>
      </w:pPr>
      <w:r>
        <w:rPr>
          <w:rFonts w:ascii="Times New Roman" w:hAnsi="Times New Roman" w:cs="Times New Roman"/>
          <w:sz w:val="24"/>
          <w:szCs w:val="24"/>
        </w:rPr>
        <w:t xml:space="preserve">There is a strong relationship between the reason for a sanction and its ‘level’. This is shown in the following table, which includes all Live Service sanctions since August 2015 and all Full Service sanctions since May 2016.  </w:t>
      </w:r>
      <w:r w:rsidR="001D42C0">
        <w:rPr>
          <w:rFonts w:ascii="Times New Roman" w:hAnsi="Times New Roman" w:cs="Times New Roman"/>
          <w:sz w:val="24"/>
          <w:szCs w:val="24"/>
        </w:rPr>
        <w:t xml:space="preserve">Missed interviews attract only ‘low’ or ‘lowest’ level sanctions, and because of their dominance we would expect these levels to account for the </w:t>
      </w:r>
      <w:r w:rsidR="001D42C0">
        <w:rPr>
          <w:rFonts w:ascii="Times New Roman" w:hAnsi="Times New Roman" w:cs="Times New Roman"/>
          <w:sz w:val="24"/>
          <w:szCs w:val="24"/>
        </w:rPr>
        <w:lastRenderedPageBreak/>
        <w:t>great majority of total sanctions, as indeed they do: 91.3% of all UC sanctions to date, of which 88.8% were ‘low’ and only 2.6% ‘lowest’.</w:t>
      </w:r>
    </w:p>
    <w:p w:rsidR="004E562C" w:rsidRPr="004E562C" w:rsidRDefault="004E562C" w:rsidP="004E562C">
      <w:pPr>
        <w:rPr>
          <w:rFonts w:ascii="Times New Roman" w:hAnsi="Times New Roman" w:cs="Times New Roman"/>
          <w:sz w:val="24"/>
          <w:szCs w:val="24"/>
        </w:rPr>
      </w:pPr>
    </w:p>
    <w:p w:rsidR="006C54E5" w:rsidRPr="00586D7C" w:rsidRDefault="00CD4AD3" w:rsidP="005A40B3">
      <w:pPr>
        <w:rPr>
          <w:rFonts w:ascii="Times New Roman" w:hAnsi="Times New Roman" w:cs="Times New Roman"/>
          <w:b/>
          <w:sz w:val="24"/>
          <w:szCs w:val="24"/>
        </w:rPr>
      </w:pPr>
      <w:r w:rsidRPr="00586D7C">
        <w:rPr>
          <w:rFonts w:ascii="Times New Roman" w:hAnsi="Times New Roman" w:cs="Times New Roman"/>
          <w:sz w:val="24"/>
          <w:szCs w:val="24"/>
        </w:rPr>
        <w:tab/>
      </w:r>
      <w:r w:rsidRPr="00586D7C">
        <w:rPr>
          <w:rFonts w:ascii="Times New Roman" w:hAnsi="Times New Roman" w:cs="Times New Roman"/>
          <w:sz w:val="24"/>
          <w:szCs w:val="24"/>
        </w:rPr>
        <w:tab/>
      </w:r>
      <w:r w:rsidRPr="00586D7C">
        <w:rPr>
          <w:rFonts w:ascii="Times New Roman" w:hAnsi="Times New Roman" w:cs="Times New Roman"/>
          <w:sz w:val="24"/>
          <w:szCs w:val="24"/>
        </w:rPr>
        <w:tab/>
      </w:r>
      <w:r w:rsidRPr="00586D7C">
        <w:rPr>
          <w:rFonts w:ascii="Times New Roman" w:hAnsi="Times New Roman" w:cs="Times New Roman"/>
          <w:b/>
          <w:sz w:val="24"/>
          <w:szCs w:val="24"/>
        </w:rPr>
        <w:t>LEVEL</w:t>
      </w:r>
      <w:r w:rsidR="0047525E">
        <w:rPr>
          <w:rFonts w:ascii="Times New Roman" w:hAnsi="Times New Roman" w:cs="Times New Roman"/>
          <w:b/>
          <w:sz w:val="24"/>
          <w:szCs w:val="24"/>
        </w:rPr>
        <w:tab/>
      </w:r>
      <w:r w:rsidR="0047525E">
        <w:rPr>
          <w:rFonts w:ascii="Times New Roman" w:hAnsi="Times New Roman" w:cs="Times New Roman"/>
          <w:b/>
          <w:sz w:val="24"/>
          <w:szCs w:val="24"/>
        </w:rPr>
        <w:tab/>
      </w:r>
      <w:r w:rsidR="0047525E">
        <w:rPr>
          <w:rFonts w:ascii="Times New Roman" w:hAnsi="Times New Roman" w:cs="Times New Roman"/>
          <w:b/>
          <w:sz w:val="24"/>
          <w:szCs w:val="24"/>
        </w:rPr>
        <w:tab/>
      </w:r>
      <w:r w:rsidR="0047525E">
        <w:rPr>
          <w:rFonts w:ascii="Times New Roman" w:hAnsi="Times New Roman" w:cs="Times New Roman"/>
          <w:b/>
          <w:sz w:val="24"/>
          <w:szCs w:val="24"/>
        </w:rPr>
        <w:tab/>
      </w:r>
      <w:r w:rsidR="0047525E">
        <w:rPr>
          <w:rFonts w:ascii="Times New Roman" w:hAnsi="Times New Roman" w:cs="Times New Roman"/>
          <w:b/>
          <w:sz w:val="24"/>
          <w:szCs w:val="24"/>
        </w:rPr>
        <w:tab/>
        <w:t>No. of sanctions</w:t>
      </w:r>
    </w:p>
    <w:tbl>
      <w:tblPr>
        <w:tblW w:w="8300" w:type="dxa"/>
        <w:tblInd w:w="108" w:type="dxa"/>
        <w:tblLook w:val="04A0"/>
      </w:tblPr>
      <w:tblGrid>
        <w:gridCol w:w="1676"/>
        <w:gridCol w:w="1656"/>
        <w:gridCol w:w="1656"/>
        <w:gridCol w:w="1656"/>
        <w:gridCol w:w="1656"/>
      </w:tblGrid>
      <w:tr w:rsidR="00CD4AD3" w:rsidRPr="00586D7C" w:rsidTr="00CD4AD3">
        <w:trPr>
          <w:trHeight w:val="525"/>
        </w:trPr>
        <w:tc>
          <w:tcPr>
            <w:tcW w:w="1676" w:type="dxa"/>
            <w:tcBorders>
              <w:top w:val="nil"/>
              <w:left w:val="nil"/>
              <w:bottom w:val="nil"/>
              <w:right w:val="nil"/>
            </w:tcBorders>
            <w:shd w:val="clear" w:color="000000" w:fill="FFFFFF"/>
            <w:noWrap/>
            <w:vAlign w:val="bottom"/>
            <w:hideMark/>
          </w:tcPr>
          <w:p w:rsidR="00CD4AD3" w:rsidRPr="00586D7C" w:rsidRDefault="00CD4AD3" w:rsidP="00CD4AD3">
            <w:pPr>
              <w:rPr>
                <w:rFonts w:ascii="Times New Roman" w:eastAsia="Times New Roman" w:hAnsi="Times New Roman" w:cs="Times New Roman"/>
                <w:b/>
                <w:sz w:val="24"/>
                <w:szCs w:val="24"/>
                <w:lang w:eastAsia="en-GB"/>
              </w:rPr>
            </w:pPr>
            <w:r w:rsidRPr="00586D7C">
              <w:rPr>
                <w:rFonts w:ascii="Times New Roman" w:eastAsia="Times New Roman" w:hAnsi="Times New Roman" w:cs="Times New Roman"/>
                <w:b/>
                <w:sz w:val="24"/>
                <w:szCs w:val="24"/>
                <w:lang w:eastAsia="en-GB"/>
              </w:rPr>
              <w:t>REASON </w:t>
            </w:r>
          </w:p>
        </w:tc>
        <w:tc>
          <w:tcPr>
            <w:tcW w:w="1656" w:type="dxa"/>
            <w:tcBorders>
              <w:top w:val="nil"/>
              <w:left w:val="nil"/>
              <w:bottom w:val="nil"/>
              <w:right w:val="nil"/>
            </w:tcBorders>
            <w:shd w:val="clear" w:color="000000" w:fill="F1F1F1"/>
            <w:vAlign w:val="center"/>
            <w:hideMark/>
          </w:tcPr>
          <w:p w:rsidR="00CD4AD3" w:rsidRPr="00586D7C" w:rsidRDefault="00CD4AD3" w:rsidP="00CD4AD3">
            <w:pPr>
              <w:jc w:val="center"/>
              <w:rPr>
                <w:rFonts w:ascii="Times New Roman" w:eastAsia="Times New Roman" w:hAnsi="Times New Roman" w:cs="Times New Roman"/>
                <w:b/>
                <w:bCs/>
                <w:sz w:val="24"/>
                <w:szCs w:val="24"/>
                <w:lang w:eastAsia="en-GB"/>
              </w:rPr>
            </w:pPr>
            <w:r w:rsidRPr="00586D7C">
              <w:rPr>
                <w:rFonts w:ascii="Times New Roman" w:eastAsia="Times New Roman" w:hAnsi="Times New Roman" w:cs="Times New Roman"/>
                <w:b/>
                <w:bCs/>
                <w:sz w:val="24"/>
                <w:szCs w:val="24"/>
                <w:lang w:eastAsia="en-GB"/>
              </w:rPr>
              <w:t>High</w:t>
            </w:r>
          </w:p>
        </w:tc>
        <w:tc>
          <w:tcPr>
            <w:tcW w:w="1656" w:type="dxa"/>
            <w:tcBorders>
              <w:top w:val="nil"/>
              <w:left w:val="nil"/>
              <w:bottom w:val="nil"/>
              <w:right w:val="nil"/>
            </w:tcBorders>
            <w:shd w:val="clear" w:color="000000" w:fill="F1F1F1"/>
            <w:vAlign w:val="center"/>
            <w:hideMark/>
          </w:tcPr>
          <w:p w:rsidR="00CD4AD3" w:rsidRPr="00586D7C" w:rsidRDefault="00CD4AD3" w:rsidP="00CD4AD3">
            <w:pPr>
              <w:jc w:val="center"/>
              <w:rPr>
                <w:rFonts w:ascii="Times New Roman" w:eastAsia="Times New Roman" w:hAnsi="Times New Roman" w:cs="Times New Roman"/>
                <w:b/>
                <w:bCs/>
                <w:sz w:val="24"/>
                <w:szCs w:val="24"/>
                <w:lang w:eastAsia="en-GB"/>
              </w:rPr>
            </w:pPr>
            <w:r w:rsidRPr="00586D7C">
              <w:rPr>
                <w:rFonts w:ascii="Times New Roman" w:eastAsia="Times New Roman" w:hAnsi="Times New Roman" w:cs="Times New Roman"/>
                <w:b/>
                <w:bCs/>
                <w:sz w:val="24"/>
                <w:szCs w:val="24"/>
                <w:lang w:eastAsia="en-GB"/>
              </w:rPr>
              <w:t>Medium</w:t>
            </w:r>
          </w:p>
        </w:tc>
        <w:tc>
          <w:tcPr>
            <w:tcW w:w="1656" w:type="dxa"/>
            <w:tcBorders>
              <w:top w:val="nil"/>
              <w:left w:val="nil"/>
              <w:bottom w:val="nil"/>
              <w:right w:val="nil"/>
            </w:tcBorders>
            <w:shd w:val="clear" w:color="000000" w:fill="F1F1F1"/>
            <w:vAlign w:val="center"/>
            <w:hideMark/>
          </w:tcPr>
          <w:p w:rsidR="00CD4AD3" w:rsidRPr="00586D7C" w:rsidRDefault="00CD4AD3" w:rsidP="00CD4AD3">
            <w:pPr>
              <w:jc w:val="center"/>
              <w:rPr>
                <w:rFonts w:ascii="Times New Roman" w:eastAsia="Times New Roman" w:hAnsi="Times New Roman" w:cs="Times New Roman"/>
                <w:b/>
                <w:bCs/>
                <w:sz w:val="24"/>
                <w:szCs w:val="24"/>
                <w:lang w:eastAsia="en-GB"/>
              </w:rPr>
            </w:pPr>
            <w:r w:rsidRPr="00586D7C">
              <w:rPr>
                <w:rFonts w:ascii="Times New Roman" w:eastAsia="Times New Roman" w:hAnsi="Times New Roman" w:cs="Times New Roman"/>
                <w:b/>
                <w:bCs/>
                <w:sz w:val="24"/>
                <w:szCs w:val="24"/>
                <w:lang w:eastAsia="en-GB"/>
              </w:rPr>
              <w:t>Low</w:t>
            </w:r>
          </w:p>
        </w:tc>
        <w:tc>
          <w:tcPr>
            <w:tcW w:w="1656" w:type="dxa"/>
            <w:tcBorders>
              <w:top w:val="nil"/>
              <w:left w:val="nil"/>
              <w:bottom w:val="nil"/>
              <w:right w:val="nil"/>
            </w:tcBorders>
            <w:shd w:val="clear" w:color="000000" w:fill="F1F1F1"/>
            <w:vAlign w:val="center"/>
            <w:hideMark/>
          </w:tcPr>
          <w:p w:rsidR="00CD4AD3" w:rsidRPr="00586D7C" w:rsidRDefault="00CD4AD3" w:rsidP="00CD4AD3">
            <w:pPr>
              <w:jc w:val="center"/>
              <w:rPr>
                <w:rFonts w:ascii="Times New Roman" w:eastAsia="Times New Roman" w:hAnsi="Times New Roman" w:cs="Times New Roman"/>
                <w:b/>
                <w:bCs/>
                <w:sz w:val="24"/>
                <w:szCs w:val="24"/>
                <w:lang w:eastAsia="en-GB"/>
              </w:rPr>
            </w:pPr>
            <w:r w:rsidRPr="00586D7C">
              <w:rPr>
                <w:rFonts w:ascii="Times New Roman" w:eastAsia="Times New Roman" w:hAnsi="Times New Roman" w:cs="Times New Roman"/>
                <w:b/>
                <w:bCs/>
                <w:sz w:val="24"/>
                <w:szCs w:val="24"/>
                <w:lang w:eastAsia="en-GB"/>
              </w:rPr>
              <w:t>Lowest</w:t>
            </w:r>
          </w:p>
        </w:tc>
      </w:tr>
      <w:tr w:rsidR="00CD4AD3" w:rsidRPr="00586D7C" w:rsidTr="00CD4AD3">
        <w:trPr>
          <w:trHeight w:val="495"/>
        </w:trPr>
        <w:tc>
          <w:tcPr>
            <w:tcW w:w="1676" w:type="dxa"/>
            <w:tcBorders>
              <w:top w:val="nil"/>
              <w:left w:val="nil"/>
              <w:bottom w:val="nil"/>
              <w:right w:val="nil"/>
            </w:tcBorders>
            <w:shd w:val="clear" w:color="000000" w:fill="F1F1F1"/>
            <w:vAlign w:val="center"/>
            <w:hideMark/>
          </w:tcPr>
          <w:p w:rsidR="00CD4AD3" w:rsidRPr="00586D7C" w:rsidRDefault="00CD4AD3" w:rsidP="00CD4AD3">
            <w:pPr>
              <w:rPr>
                <w:rFonts w:ascii="Times New Roman" w:eastAsia="Times New Roman" w:hAnsi="Times New Roman" w:cs="Times New Roman"/>
                <w:b/>
                <w:bCs/>
                <w:sz w:val="24"/>
                <w:szCs w:val="24"/>
                <w:lang w:eastAsia="en-GB"/>
              </w:rPr>
            </w:pPr>
            <w:r w:rsidRPr="00586D7C">
              <w:rPr>
                <w:rFonts w:ascii="Times New Roman" w:eastAsia="Times New Roman" w:hAnsi="Times New Roman" w:cs="Times New Roman"/>
                <w:b/>
                <w:bCs/>
                <w:sz w:val="24"/>
                <w:szCs w:val="24"/>
                <w:lang w:eastAsia="en-GB"/>
              </w:rPr>
              <w:t>Availability for Work</w:t>
            </w:r>
          </w:p>
        </w:tc>
        <w:tc>
          <w:tcPr>
            <w:tcW w:w="1656" w:type="dxa"/>
            <w:tcBorders>
              <w:top w:val="nil"/>
              <w:left w:val="nil"/>
              <w:bottom w:val="nil"/>
              <w:right w:val="nil"/>
            </w:tcBorders>
            <w:shd w:val="clear" w:color="000000" w:fill="FFFFFF"/>
            <w:noWrap/>
            <w:vAlign w:val="bottom"/>
            <w:hideMark/>
          </w:tcPr>
          <w:p w:rsidR="00CD4AD3" w:rsidRPr="00586D7C" w:rsidRDefault="00CD4AD3" w:rsidP="00CD4AD3">
            <w:pPr>
              <w:jc w:val="right"/>
              <w:rPr>
                <w:rFonts w:ascii="Times New Roman" w:eastAsia="Times New Roman" w:hAnsi="Times New Roman" w:cs="Times New Roman"/>
                <w:sz w:val="24"/>
                <w:szCs w:val="24"/>
                <w:lang w:eastAsia="en-GB"/>
              </w:rPr>
            </w:pPr>
            <w:r w:rsidRPr="00586D7C">
              <w:rPr>
                <w:rFonts w:ascii="Times New Roman" w:eastAsia="Times New Roman" w:hAnsi="Times New Roman" w:cs="Times New Roman"/>
                <w:sz w:val="24"/>
                <w:szCs w:val="24"/>
                <w:lang w:eastAsia="en-GB"/>
              </w:rPr>
              <w:t>8863</w:t>
            </w:r>
          </w:p>
        </w:tc>
        <w:tc>
          <w:tcPr>
            <w:tcW w:w="1656" w:type="dxa"/>
            <w:tcBorders>
              <w:top w:val="nil"/>
              <w:left w:val="nil"/>
              <w:bottom w:val="nil"/>
              <w:right w:val="nil"/>
            </w:tcBorders>
            <w:shd w:val="clear" w:color="000000" w:fill="FFFFFF"/>
            <w:noWrap/>
            <w:vAlign w:val="bottom"/>
            <w:hideMark/>
          </w:tcPr>
          <w:p w:rsidR="00CD4AD3" w:rsidRPr="00586D7C" w:rsidRDefault="00CD4AD3" w:rsidP="00CD4AD3">
            <w:pPr>
              <w:jc w:val="right"/>
              <w:rPr>
                <w:rFonts w:ascii="Times New Roman" w:eastAsia="Times New Roman" w:hAnsi="Times New Roman" w:cs="Times New Roman"/>
                <w:sz w:val="24"/>
                <w:szCs w:val="24"/>
                <w:lang w:eastAsia="en-GB"/>
              </w:rPr>
            </w:pPr>
            <w:r w:rsidRPr="00586D7C">
              <w:rPr>
                <w:rFonts w:ascii="Times New Roman" w:eastAsia="Times New Roman" w:hAnsi="Times New Roman" w:cs="Times New Roman"/>
                <w:sz w:val="24"/>
                <w:szCs w:val="24"/>
                <w:lang w:eastAsia="en-GB"/>
              </w:rPr>
              <w:t>131410</w:t>
            </w:r>
          </w:p>
        </w:tc>
        <w:tc>
          <w:tcPr>
            <w:tcW w:w="1656" w:type="dxa"/>
            <w:tcBorders>
              <w:top w:val="nil"/>
              <w:left w:val="nil"/>
              <w:bottom w:val="nil"/>
              <w:right w:val="nil"/>
            </w:tcBorders>
            <w:shd w:val="clear" w:color="000000" w:fill="FFFFFF"/>
            <w:noWrap/>
            <w:vAlign w:val="bottom"/>
            <w:hideMark/>
          </w:tcPr>
          <w:p w:rsidR="00CD4AD3" w:rsidRPr="00586D7C" w:rsidRDefault="00CD4AD3" w:rsidP="00CD4AD3">
            <w:pPr>
              <w:jc w:val="right"/>
              <w:rPr>
                <w:rFonts w:ascii="Times New Roman" w:eastAsia="Times New Roman" w:hAnsi="Times New Roman" w:cs="Times New Roman"/>
                <w:sz w:val="24"/>
                <w:szCs w:val="24"/>
                <w:lang w:eastAsia="en-GB"/>
              </w:rPr>
            </w:pPr>
            <w:r w:rsidRPr="00586D7C">
              <w:rPr>
                <w:rFonts w:ascii="Times New Roman" w:eastAsia="Times New Roman" w:hAnsi="Times New Roman" w:cs="Times New Roman"/>
                <w:sz w:val="24"/>
                <w:szCs w:val="24"/>
                <w:lang w:eastAsia="en-GB"/>
              </w:rPr>
              <w:t>60552</w:t>
            </w:r>
          </w:p>
        </w:tc>
        <w:tc>
          <w:tcPr>
            <w:tcW w:w="1656" w:type="dxa"/>
            <w:tcBorders>
              <w:top w:val="nil"/>
              <w:left w:val="nil"/>
              <w:bottom w:val="nil"/>
              <w:right w:val="nil"/>
            </w:tcBorders>
            <w:shd w:val="clear" w:color="000000" w:fill="FFFFFF"/>
            <w:noWrap/>
            <w:vAlign w:val="bottom"/>
            <w:hideMark/>
          </w:tcPr>
          <w:p w:rsidR="00CD4AD3" w:rsidRPr="00586D7C" w:rsidRDefault="00CD4AD3" w:rsidP="00CD4AD3">
            <w:pPr>
              <w:jc w:val="right"/>
              <w:rPr>
                <w:rFonts w:ascii="Times New Roman" w:eastAsia="Times New Roman" w:hAnsi="Times New Roman" w:cs="Times New Roman"/>
                <w:sz w:val="24"/>
                <w:szCs w:val="24"/>
                <w:lang w:eastAsia="en-GB"/>
              </w:rPr>
            </w:pPr>
            <w:r w:rsidRPr="00586D7C">
              <w:rPr>
                <w:rFonts w:ascii="Times New Roman" w:eastAsia="Times New Roman" w:hAnsi="Times New Roman" w:cs="Times New Roman"/>
                <w:sz w:val="24"/>
                <w:szCs w:val="24"/>
                <w:lang w:eastAsia="en-GB"/>
              </w:rPr>
              <w:t>0</w:t>
            </w:r>
          </w:p>
        </w:tc>
      </w:tr>
      <w:tr w:rsidR="00CD4AD3" w:rsidRPr="00586D7C" w:rsidTr="00CD4AD3">
        <w:trPr>
          <w:trHeight w:val="495"/>
        </w:trPr>
        <w:tc>
          <w:tcPr>
            <w:tcW w:w="1676" w:type="dxa"/>
            <w:tcBorders>
              <w:top w:val="nil"/>
              <w:left w:val="nil"/>
              <w:bottom w:val="nil"/>
              <w:right w:val="nil"/>
            </w:tcBorders>
            <w:shd w:val="clear" w:color="000000" w:fill="F1F1F1"/>
            <w:vAlign w:val="center"/>
            <w:hideMark/>
          </w:tcPr>
          <w:p w:rsidR="00CD4AD3" w:rsidRPr="00586D7C" w:rsidRDefault="00CD4AD3" w:rsidP="00CD4AD3">
            <w:pPr>
              <w:rPr>
                <w:rFonts w:ascii="Times New Roman" w:eastAsia="Times New Roman" w:hAnsi="Times New Roman" w:cs="Times New Roman"/>
                <w:b/>
                <w:bCs/>
                <w:sz w:val="24"/>
                <w:szCs w:val="24"/>
                <w:lang w:eastAsia="en-GB"/>
              </w:rPr>
            </w:pPr>
            <w:r w:rsidRPr="00586D7C">
              <w:rPr>
                <w:rFonts w:ascii="Times New Roman" w:eastAsia="Times New Roman" w:hAnsi="Times New Roman" w:cs="Times New Roman"/>
                <w:b/>
                <w:bCs/>
                <w:sz w:val="24"/>
                <w:szCs w:val="24"/>
                <w:lang w:eastAsia="en-GB"/>
              </w:rPr>
              <w:t>Employment Programmes</w:t>
            </w:r>
          </w:p>
        </w:tc>
        <w:tc>
          <w:tcPr>
            <w:tcW w:w="1656" w:type="dxa"/>
            <w:tcBorders>
              <w:top w:val="nil"/>
              <w:left w:val="nil"/>
              <w:bottom w:val="nil"/>
              <w:right w:val="nil"/>
            </w:tcBorders>
            <w:shd w:val="clear" w:color="000000" w:fill="FFFFFF"/>
            <w:noWrap/>
            <w:vAlign w:val="bottom"/>
            <w:hideMark/>
          </w:tcPr>
          <w:p w:rsidR="00CD4AD3" w:rsidRPr="00586D7C" w:rsidRDefault="00CD4AD3" w:rsidP="00CD4AD3">
            <w:pPr>
              <w:jc w:val="right"/>
              <w:rPr>
                <w:rFonts w:ascii="Times New Roman" w:eastAsia="Times New Roman" w:hAnsi="Times New Roman" w:cs="Times New Roman"/>
                <w:sz w:val="24"/>
                <w:szCs w:val="24"/>
                <w:lang w:eastAsia="en-GB"/>
              </w:rPr>
            </w:pPr>
            <w:r w:rsidRPr="00586D7C">
              <w:rPr>
                <w:rFonts w:ascii="Times New Roman" w:eastAsia="Times New Roman" w:hAnsi="Times New Roman" w:cs="Times New Roman"/>
                <w:sz w:val="24"/>
                <w:szCs w:val="24"/>
                <w:lang w:eastAsia="en-GB"/>
              </w:rPr>
              <w:t>734</w:t>
            </w:r>
          </w:p>
        </w:tc>
        <w:tc>
          <w:tcPr>
            <w:tcW w:w="1656" w:type="dxa"/>
            <w:tcBorders>
              <w:top w:val="nil"/>
              <w:left w:val="nil"/>
              <w:bottom w:val="nil"/>
              <w:right w:val="nil"/>
            </w:tcBorders>
            <w:shd w:val="clear" w:color="000000" w:fill="FFFFFF"/>
            <w:noWrap/>
            <w:vAlign w:val="bottom"/>
            <w:hideMark/>
          </w:tcPr>
          <w:p w:rsidR="00CD4AD3" w:rsidRPr="00586D7C" w:rsidRDefault="00CD4AD3" w:rsidP="00CD4AD3">
            <w:pPr>
              <w:jc w:val="right"/>
              <w:rPr>
                <w:rFonts w:ascii="Times New Roman" w:eastAsia="Times New Roman" w:hAnsi="Times New Roman" w:cs="Times New Roman"/>
                <w:sz w:val="24"/>
                <w:szCs w:val="24"/>
                <w:lang w:eastAsia="en-GB"/>
              </w:rPr>
            </w:pPr>
            <w:r w:rsidRPr="00586D7C">
              <w:rPr>
                <w:rFonts w:ascii="Times New Roman" w:eastAsia="Times New Roman" w:hAnsi="Times New Roman" w:cs="Times New Roman"/>
                <w:sz w:val="24"/>
                <w:szCs w:val="24"/>
                <w:lang w:eastAsia="en-GB"/>
              </w:rPr>
              <w:t>0</w:t>
            </w:r>
          </w:p>
        </w:tc>
        <w:tc>
          <w:tcPr>
            <w:tcW w:w="1656" w:type="dxa"/>
            <w:tcBorders>
              <w:top w:val="nil"/>
              <w:left w:val="nil"/>
              <w:bottom w:val="nil"/>
              <w:right w:val="nil"/>
            </w:tcBorders>
            <w:shd w:val="clear" w:color="000000" w:fill="FFFFFF"/>
            <w:noWrap/>
            <w:vAlign w:val="bottom"/>
            <w:hideMark/>
          </w:tcPr>
          <w:p w:rsidR="00CD4AD3" w:rsidRPr="00586D7C" w:rsidRDefault="00CD4AD3" w:rsidP="00CD4AD3">
            <w:pPr>
              <w:jc w:val="right"/>
              <w:rPr>
                <w:rFonts w:ascii="Times New Roman" w:eastAsia="Times New Roman" w:hAnsi="Times New Roman" w:cs="Times New Roman"/>
                <w:sz w:val="24"/>
                <w:szCs w:val="24"/>
                <w:lang w:eastAsia="en-GB"/>
              </w:rPr>
            </w:pPr>
            <w:r w:rsidRPr="00586D7C">
              <w:rPr>
                <w:rFonts w:ascii="Times New Roman" w:eastAsia="Times New Roman" w:hAnsi="Times New Roman" w:cs="Times New Roman"/>
                <w:sz w:val="24"/>
                <w:szCs w:val="24"/>
                <w:lang w:eastAsia="en-GB"/>
              </w:rPr>
              <w:t>77227</w:t>
            </w:r>
          </w:p>
        </w:tc>
        <w:tc>
          <w:tcPr>
            <w:tcW w:w="1656" w:type="dxa"/>
            <w:tcBorders>
              <w:top w:val="nil"/>
              <w:left w:val="nil"/>
              <w:bottom w:val="nil"/>
              <w:right w:val="nil"/>
            </w:tcBorders>
            <w:shd w:val="clear" w:color="000000" w:fill="FFFFFF"/>
            <w:noWrap/>
            <w:vAlign w:val="bottom"/>
            <w:hideMark/>
          </w:tcPr>
          <w:p w:rsidR="00CD4AD3" w:rsidRPr="00586D7C" w:rsidRDefault="00CD4AD3" w:rsidP="00CD4AD3">
            <w:pPr>
              <w:jc w:val="right"/>
              <w:rPr>
                <w:rFonts w:ascii="Times New Roman" w:eastAsia="Times New Roman" w:hAnsi="Times New Roman" w:cs="Times New Roman"/>
                <w:sz w:val="24"/>
                <w:szCs w:val="24"/>
                <w:lang w:eastAsia="en-GB"/>
              </w:rPr>
            </w:pPr>
            <w:r w:rsidRPr="00586D7C">
              <w:rPr>
                <w:rFonts w:ascii="Times New Roman" w:eastAsia="Times New Roman" w:hAnsi="Times New Roman" w:cs="Times New Roman"/>
                <w:sz w:val="24"/>
                <w:szCs w:val="24"/>
                <w:lang w:eastAsia="en-GB"/>
              </w:rPr>
              <w:t>0</w:t>
            </w:r>
          </w:p>
        </w:tc>
      </w:tr>
      <w:tr w:rsidR="00CD4AD3" w:rsidRPr="00586D7C" w:rsidTr="00CD4AD3">
        <w:trPr>
          <w:trHeight w:val="735"/>
        </w:trPr>
        <w:tc>
          <w:tcPr>
            <w:tcW w:w="1676" w:type="dxa"/>
            <w:tcBorders>
              <w:top w:val="nil"/>
              <w:left w:val="nil"/>
              <w:bottom w:val="nil"/>
              <w:right w:val="nil"/>
            </w:tcBorders>
            <w:shd w:val="clear" w:color="000000" w:fill="F1F1F1"/>
            <w:vAlign w:val="center"/>
            <w:hideMark/>
          </w:tcPr>
          <w:p w:rsidR="00CD4AD3" w:rsidRPr="00586D7C" w:rsidRDefault="00CD4AD3" w:rsidP="00CD4AD3">
            <w:pPr>
              <w:rPr>
                <w:rFonts w:ascii="Times New Roman" w:eastAsia="Times New Roman" w:hAnsi="Times New Roman" w:cs="Times New Roman"/>
                <w:b/>
                <w:bCs/>
                <w:sz w:val="24"/>
                <w:szCs w:val="24"/>
                <w:lang w:eastAsia="en-GB"/>
              </w:rPr>
            </w:pPr>
            <w:r w:rsidRPr="00586D7C">
              <w:rPr>
                <w:rFonts w:ascii="Times New Roman" w:eastAsia="Times New Roman" w:hAnsi="Times New Roman" w:cs="Times New Roman"/>
                <w:b/>
                <w:bCs/>
                <w:sz w:val="24"/>
                <w:szCs w:val="24"/>
                <w:lang w:eastAsia="en-GB"/>
              </w:rPr>
              <w:t>Reason For Leaving Previous Employment</w:t>
            </w:r>
          </w:p>
        </w:tc>
        <w:tc>
          <w:tcPr>
            <w:tcW w:w="1656" w:type="dxa"/>
            <w:tcBorders>
              <w:top w:val="nil"/>
              <w:left w:val="nil"/>
              <w:bottom w:val="nil"/>
              <w:right w:val="nil"/>
            </w:tcBorders>
            <w:shd w:val="clear" w:color="000000" w:fill="FFFFFF"/>
            <w:noWrap/>
            <w:vAlign w:val="bottom"/>
            <w:hideMark/>
          </w:tcPr>
          <w:p w:rsidR="00CD4AD3" w:rsidRPr="00586D7C" w:rsidRDefault="00CD4AD3" w:rsidP="00CD4AD3">
            <w:pPr>
              <w:jc w:val="right"/>
              <w:rPr>
                <w:rFonts w:ascii="Times New Roman" w:eastAsia="Times New Roman" w:hAnsi="Times New Roman" w:cs="Times New Roman"/>
                <w:sz w:val="24"/>
                <w:szCs w:val="24"/>
                <w:lang w:eastAsia="en-GB"/>
              </w:rPr>
            </w:pPr>
            <w:r w:rsidRPr="00586D7C">
              <w:rPr>
                <w:rFonts w:ascii="Times New Roman" w:eastAsia="Times New Roman" w:hAnsi="Times New Roman" w:cs="Times New Roman"/>
                <w:sz w:val="24"/>
                <w:szCs w:val="24"/>
                <w:lang w:eastAsia="en-GB"/>
              </w:rPr>
              <w:t>68496</w:t>
            </w:r>
          </w:p>
        </w:tc>
        <w:tc>
          <w:tcPr>
            <w:tcW w:w="1656" w:type="dxa"/>
            <w:tcBorders>
              <w:top w:val="nil"/>
              <w:left w:val="nil"/>
              <w:bottom w:val="nil"/>
              <w:right w:val="nil"/>
            </w:tcBorders>
            <w:shd w:val="clear" w:color="000000" w:fill="FFFFFF"/>
            <w:noWrap/>
            <w:vAlign w:val="bottom"/>
            <w:hideMark/>
          </w:tcPr>
          <w:p w:rsidR="00CD4AD3" w:rsidRPr="00586D7C" w:rsidRDefault="00CD4AD3" w:rsidP="00CD4AD3">
            <w:pPr>
              <w:jc w:val="right"/>
              <w:rPr>
                <w:rFonts w:ascii="Times New Roman" w:eastAsia="Times New Roman" w:hAnsi="Times New Roman" w:cs="Times New Roman"/>
                <w:sz w:val="24"/>
                <w:szCs w:val="24"/>
                <w:lang w:eastAsia="en-GB"/>
              </w:rPr>
            </w:pPr>
            <w:r w:rsidRPr="00586D7C">
              <w:rPr>
                <w:rFonts w:ascii="Times New Roman" w:eastAsia="Times New Roman" w:hAnsi="Times New Roman" w:cs="Times New Roman"/>
                <w:sz w:val="24"/>
                <w:szCs w:val="24"/>
                <w:lang w:eastAsia="en-GB"/>
              </w:rPr>
              <w:t>0</w:t>
            </w:r>
          </w:p>
        </w:tc>
        <w:tc>
          <w:tcPr>
            <w:tcW w:w="1656" w:type="dxa"/>
            <w:tcBorders>
              <w:top w:val="nil"/>
              <w:left w:val="nil"/>
              <w:bottom w:val="nil"/>
              <w:right w:val="nil"/>
            </w:tcBorders>
            <w:shd w:val="clear" w:color="000000" w:fill="FFFFFF"/>
            <w:noWrap/>
            <w:vAlign w:val="bottom"/>
            <w:hideMark/>
          </w:tcPr>
          <w:p w:rsidR="00CD4AD3" w:rsidRPr="00586D7C" w:rsidRDefault="00CD4AD3" w:rsidP="00CD4AD3">
            <w:pPr>
              <w:jc w:val="right"/>
              <w:rPr>
                <w:rFonts w:ascii="Times New Roman" w:eastAsia="Times New Roman" w:hAnsi="Times New Roman" w:cs="Times New Roman"/>
                <w:sz w:val="24"/>
                <w:szCs w:val="24"/>
                <w:lang w:eastAsia="en-GB"/>
              </w:rPr>
            </w:pPr>
            <w:r w:rsidRPr="00586D7C">
              <w:rPr>
                <w:rFonts w:ascii="Times New Roman" w:eastAsia="Times New Roman" w:hAnsi="Times New Roman" w:cs="Times New Roman"/>
                <w:sz w:val="24"/>
                <w:szCs w:val="24"/>
                <w:lang w:eastAsia="en-GB"/>
              </w:rPr>
              <w:t>0</w:t>
            </w:r>
          </w:p>
        </w:tc>
        <w:tc>
          <w:tcPr>
            <w:tcW w:w="1656" w:type="dxa"/>
            <w:tcBorders>
              <w:top w:val="nil"/>
              <w:left w:val="nil"/>
              <w:bottom w:val="nil"/>
              <w:right w:val="nil"/>
            </w:tcBorders>
            <w:shd w:val="clear" w:color="000000" w:fill="FFFFFF"/>
            <w:noWrap/>
            <w:vAlign w:val="bottom"/>
            <w:hideMark/>
          </w:tcPr>
          <w:p w:rsidR="00CD4AD3" w:rsidRPr="00586D7C" w:rsidRDefault="00CD4AD3" w:rsidP="00CD4AD3">
            <w:pPr>
              <w:jc w:val="right"/>
              <w:rPr>
                <w:rFonts w:ascii="Times New Roman" w:eastAsia="Times New Roman" w:hAnsi="Times New Roman" w:cs="Times New Roman"/>
                <w:sz w:val="24"/>
                <w:szCs w:val="24"/>
                <w:lang w:eastAsia="en-GB"/>
              </w:rPr>
            </w:pPr>
            <w:r w:rsidRPr="00586D7C">
              <w:rPr>
                <w:rFonts w:ascii="Times New Roman" w:eastAsia="Times New Roman" w:hAnsi="Times New Roman" w:cs="Times New Roman"/>
                <w:sz w:val="24"/>
                <w:szCs w:val="24"/>
                <w:lang w:eastAsia="en-GB"/>
              </w:rPr>
              <w:t>0</w:t>
            </w:r>
          </w:p>
        </w:tc>
      </w:tr>
      <w:tr w:rsidR="00CD4AD3" w:rsidRPr="00586D7C" w:rsidTr="00CD4AD3">
        <w:trPr>
          <w:trHeight w:val="975"/>
        </w:trPr>
        <w:tc>
          <w:tcPr>
            <w:tcW w:w="1676" w:type="dxa"/>
            <w:tcBorders>
              <w:top w:val="nil"/>
              <w:left w:val="nil"/>
              <w:bottom w:val="nil"/>
              <w:right w:val="nil"/>
            </w:tcBorders>
            <w:shd w:val="clear" w:color="000000" w:fill="F1F1F1"/>
            <w:vAlign w:val="center"/>
            <w:hideMark/>
          </w:tcPr>
          <w:p w:rsidR="00CD4AD3" w:rsidRPr="00586D7C" w:rsidRDefault="00CD4AD3" w:rsidP="009B1DFA">
            <w:pPr>
              <w:rPr>
                <w:rFonts w:ascii="Times New Roman" w:eastAsia="Times New Roman" w:hAnsi="Times New Roman" w:cs="Times New Roman"/>
                <w:b/>
                <w:bCs/>
                <w:sz w:val="24"/>
                <w:szCs w:val="24"/>
                <w:lang w:eastAsia="en-GB"/>
              </w:rPr>
            </w:pPr>
            <w:r w:rsidRPr="00586D7C">
              <w:rPr>
                <w:rFonts w:ascii="Times New Roman" w:eastAsia="Times New Roman" w:hAnsi="Times New Roman" w:cs="Times New Roman"/>
                <w:b/>
                <w:bCs/>
                <w:sz w:val="24"/>
                <w:szCs w:val="24"/>
                <w:lang w:eastAsia="en-GB"/>
              </w:rPr>
              <w:t xml:space="preserve">Work-Focused </w:t>
            </w:r>
            <w:r w:rsidR="009B1DFA" w:rsidRPr="00586D7C">
              <w:rPr>
                <w:rFonts w:ascii="Times New Roman" w:eastAsia="Times New Roman" w:hAnsi="Times New Roman" w:cs="Times New Roman"/>
                <w:b/>
                <w:bCs/>
                <w:sz w:val="24"/>
                <w:szCs w:val="24"/>
                <w:lang w:eastAsia="en-GB"/>
              </w:rPr>
              <w:t>i</w:t>
            </w:r>
            <w:r w:rsidRPr="00586D7C">
              <w:rPr>
                <w:rFonts w:ascii="Times New Roman" w:eastAsia="Times New Roman" w:hAnsi="Times New Roman" w:cs="Times New Roman"/>
                <w:b/>
                <w:bCs/>
                <w:sz w:val="24"/>
                <w:szCs w:val="24"/>
                <w:lang w:eastAsia="en-GB"/>
              </w:rPr>
              <w:t>nterviews</w:t>
            </w:r>
          </w:p>
        </w:tc>
        <w:tc>
          <w:tcPr>
            <w:tcW w:w="1656" w:type="dxa"/>
            <w:tcBorders>
              <w:top w:val="nil"/>
              <w:left w:val="nil"/>
              <w:bottom w:val="nil"/>
              <w:right w:val="nil"/>
            </w:tcBorders>
            <w:shd w:val="clear" w:color="000000" w:fill="FFFFFF"/>
            <w:noWrap/>
            <w:vAlign w:val="bottom"/>
            <w:hideMark/>
          </w:tcPr>
          <w:p w:rsidR="00CD4AD3" w:rsidRPr="00586D7C" w:rsidRDefault="00CD4AD3" w:rsidP="00CD4AD3">
            <w:pPr>
              <w:jc w:val="right"/>
              <w:rPr>
                <w:rFonts w:ascii="Times New Roman" w:eastAsia="Times New Roman" w:hAnsi="Times New Roman" w:cs="Times New Roman"/>
                <w:sz w:val="24"/>
                <w:szCs w:val="24"/>
                <w:lang w:eastAsia="en-GB"/>
              </w:rPr>
            </w:pPr>
            <w:r w:rsidRPr="00586D7C">
              <w:rPr>
                <w:rFonts w:ascii="Times New Roman" w:eastAsia="Times New Roman" w:hAnsi="Times New Roman" w:cs="Times New Roman"/>
                <w:sz w:val="24"/>
                <w:szCs w:val="24"/>
                <w:lang w:eastAsia="en-GB"/>
              </w:rPr>
              <w:t>0</w:t>
            </w:r>
          </w:p>
        </w:tc>
        <w:tc>
          <w:tcPr>
            <w:tcW w:w="1656" w:type="dxa"/>
            <w:tcBorders>
              <w:top w:val="nil"/>
              <w:left w:val="nil"/>
              <w:bottom w:val="nil"/>
              <w:right w:val="nil"/>
            </w:tcBorders>
            <w:shd w:val="clear" w:color="000000" w:fill="FFFFFF"/>
            <w:noWrap/>
            <w:vAlign w:val="bottom"/>
            <w:hideMark/>
          </w:tcPr>
          <w:p w:rsidR="00CD4AD3" w:rsidRPr="00586D7C" w:rsidRDefault="00CD4AD3" w:rsidP="00CD4AD3">
            <w:pPr>
              <w:jc w:val="right"/>
              <w:rPr>
                <w:rFonts w:ascii="Times New Roman" w:eastAsia="Times New Roman" w:hAnsi="Times New Roman" w:cs="Times New Roman"/>
                <w:sz w:val="24"/>
                <w:szCs w:val="24"/>
                <w:lang w:eastAsia="en-GB"/>
              </w:rPr>
            </w:pPr>
            <w:r w:rsidRPr="00586D7C">
              <w:rPr>
                <w:rFonts w:ascii="Times New Roman" w:eastAsia="Times New Roman" w:hAnsi="Times New Roman" w:cs="Times New Roman"/>
                <w:sz w:val="24"/>
                <w:szCs w:val="24"/>
                <w:lang w:eastAsia="en-GB"/>
              </w:rPr>
              <w:t>0</w:t>
            </w:r>
          </w:p>
        </w:tc>
        <w:tc>
          <w:tcPr>
            <w:tcW w:w="1656" w:type="dxa"/>
            <w:tcBorders>
              <w:top w:val="nil"/>
              <w:left w:val="nil"/>
              <w:bottom w:val="nil"/>
              <w:right w:val="nil"/>
            </w:tcBorders>
            <w:shd w:val="clear" w:color="000000" w:fill="FFFFFF"/>
            <w:noWrap/>
            <w:vAlign w:val="bottom"/>
            <w:hideMark/>
          </w:tcPr>
          <w:p w:rsidR="00CD4AD3" w:rsidRPr="00586D7C" w:rsidRDefault="00CD4AD3" w:rsidP="00CD4AD3">
            <w:pPr>
              <w:jc w:val="right"/>
              <w:rPr>
                <w:rFonts w:ascii="Times New Roman" w:eastAsia="Times New Roman" w:hAnsi="Times New Roman" w:cs="Times New Roman"/>
                <w:sz w:val="24"/>
                <w:szCs w:val="24"/>
                <w:lang w:eastAsia="en-GB"/>
              </w:rPr>
            </w:pPr>
            <w:r w:rsidRPr="00586D7C">
              <w:rPr>
                <w:rFonts w:ascii="Times New Roman" w:eastAsia="Times New Roman" w:hAnsi="Times New Roman" w:cs="Times New Roman"/>
                <w:sz w:val="24"/>
                <w:szCs w:val="24"/>
                <w:lang w:eastAsia="en-GB"/>
              </w:rPr>
              <w:t>2095103</w:t>
            </w:r>
          </w:p>
        </w:tc>
        <w:tc>
          <w:tcPr>
            <w:tcW w:w="1656" w:type="dxa"/>
            <w:tcBorders>
              <w:top w:val="nil"/>
              <w:left w:val="nil"/>
              <w:bottom w:val="nil"/>
              <w:right w:val="nil"/>
            </w:tcBorders>
            <w:shd w:val="clear" w:color="000000" w:fill="FFFFFF"/>
            <w:noWrap/>
            <w:vAlign w:val="bottom"/>
            <w:hideMark/>
          </w:tcPr>
          <w:p w:rsidR="00CD4AD3" w:rsidRPr="00586D7C" w:rsidRDefault="00CD4AD3" w:rsidP="00CD4AD3">
            <w:pPr>
              <w:jc w:val="right"/>
              <w:rPr>
                <w:rFonts w:ascii="Times New Roman" w:eastAsia="Times New Roman" w:hAnsi="Times New Roman" w:cs="Times New Roman"/>
                <w:sz w:val="24"/>
                <w:szCs w:val="24"/>
                <w:lang w:eastAsia="en-GB"/>
              </w:rPr>
            </w:pPr>
            <w:r w:rsidRPr="00586D7C">
              <w:rPr>
                <w:rFonts w:ascii="Times New Roman" w:eastAsia="Times New Roman" w:hAnsi="Times New Roman" w:cs="Times New Roman"/>
                <w:sz w:val="24"/>
                <w:szCs w:val="24"/>
                <w:lang w:eastAsia="en-GB"/>
              </w:rPr>
              <w:t>64501</w:t>
            </w:r>
          </w:p>
        </w:tc>
      </w:tr>
      <w:tr w:rsidR="00CD4AD3" w:rsidRPr="00586D7C" w:rsidTr="00CD4AD3">
        <w:trPr>
          <w:trHeight w:val="270"/>
        </w:trPr>
        <w:tc>
          <w:tcPr>
            <w:tcW w:w="1676" w:type="dxa"/>
            <w:tcBorders>
              <w:top w:val="nil"/>
              <w:left w:val="nil"/>
              <w:bottom w:val="nil"/>
              <w:right w:val="nil"/>
            </w:tcBorders>
            <w:shd w:val="clear" w:color="000000" w:fill="F1F1F1"/>
            <w:vAlign w:val="center"/>
            <w:hideMark/>
          </w:tcPr>
          <w:p w:rsidR="00CD4AD3" w:rsidRPr="00586D7C" w:rsidRDefault="00CD4AD3" w:rsidP="00CD4AD3">
            <w:pPr>
              <w:rPr>
                <w:rFonts w:ascii="Times New Roman" w:eastAsia="Times New Roman" w:hAnsi="Times New Roman" w:cs="Times New Roman"/>
                <w:b/>
                <w:bCs/>
                <w:sz w:val="24"/>
                <w:szCs w:val="24"/>
                <w:lang w:eastAsia="en-GB"/>
              </w:rPr>
            </w:pPr>
            <w:r w:rsidRPr="00586D7C">
              <w:rPr>
                <w:rFonts w:ascii="Times New Roman" w:eastAsia="Times New Roman" w:hAnsi="Times New Roman" w:cs="Times New Roman"/>
                <w:b/>
                <w:bCs/>
                <w:sz w:val="24"/>
                <w:szCs w:val="24"/>
                <w:lang w:eastAsia="en-GB"/>
              </w:rPr>
              <w:t>Other</w:t>
            </w:r>
          </w:p>
        </w:tc>
        <w:tc>
          <w:tcPr>
            <w:tcW w:w="1656" w:type="dxa"/>
            <w:tcBorders>
              <w:top w:val="nil"/>
              <w:left w:val="nil"/>
              <w:bottom w:val="nil"/>
              <w:right w:val="nil"/>
            </w:tcBorders>
            <w:shd w:val="clear" w:color="000000" w:fill="FFFFFF"/>
            <w:noWrap/>
            <w:vAlign w:val="bottom"/>
            <w:hideMark/>
          </w:tcPr>
          <w:p w:rsidR="00CD4AD3" w:rsidRPr="00586D7C" w:rsidRDefault="00CD4AD3" w:rsidP="00CD4AD3">
            <w:pPr>
              <w:jc w:val="right"/>
              <w:rPr>
                <w:rFonts w:ascii="Times New Roman" w:eastAsia="Times New Roman" w:hAnsi="Times New Roman" w:cs="Times New Roman"/>
                <w:sz w:val="24"/>
                <w:szCs w:val="24"/>
                <w:lang w:eastAsia="en-GB"/>
              </w:rPr>
            </w:pPr>
            <w:r w:rsidRPr="00586D7C">
              <w:rPr>
                <w:rFonts w:ascii="Times New Roman" w:eastAsia="Times New Roman" w:hAnsi="Times New Roman" w:cs="Times New Roman"/>
                <w:sz w:val="24"/>
                <w:szCs w:val="24"/>
                <w:lang w:eastAsia="en-GB"/>
              </w:rPr>
              <w:t>8824</w:t>
            </w:r>
          </w:p>
        </w:tc>
        <w:tc>
          <w:tcPr>
            <w:tcW w:w="1656" w:type="dxa"/>
            <w:tcBorders>
              <w:top w:val="nil"/>
              <w:left w:val="nil"/>
              <w:bottom w:val="nil"/>
              <w:right w:val="nil"/>
            </w:tcBorders>
            <w:shd w:val="clear" w:color="000000" w:fill="FFFFFF"/>
            <w:noWrap/>
            <w:vAlign w:val="bottom"/>
            <w:hideMark/>
          </w:tcPr>
          <w:p w:rsidR="00CD4AD3" w:rsidRPr="00586D7C" w:rsidRDefault="00CD4AD3" w:rsidP="00CD4AD3">
            <w:pPr>
              <w:jc w:val="right"/>
              <w:rPr>
                <w:rFonts w:ascii="Times New Roman" w:eastAsia="Times New Roman" w:hAnsi="Times New Roman" w:cs="Times New Roman"/>
                <w:sz w:val="24"/>
                <w:szCs w:val="24"/>
                <w:lang w:eastAsia="en-GB"/>
              </w:rPr>
            </w:pPr>
            <w:r w:rsidRPr="00586D7C">
              <w:rPr>
                <w:rFonts w:ascii="Times New Roman" w:eastAsia="Times New Roman" w:hAnsi="Times New Roman" w:cs="Times New Roman"/>
                <w:sz w:val="24"/>
                <w:szCs w:val="24"/>
                <w:lang w:eastAsia="en-GB"/>
              </w:rPr>
              <w:t>0</w:t>
            </w:r>
          </w:p>
        </w:tc>
        <w:tc>
          <w:tcPr>
            <w:tcW w:w="1656" w:type="dxa"/>
            <w:tcBorders>
              <w:top w:val="nil"/>
              <w:left w:val="nil"/>
              <w:bottom w:val="nil"/>
              <w:right w:val="nil"/>
            </w:tcBorders>
            <w:shd w:val="clear" w:color="000000" w:fill="FFFFFF"/>
            <w:noWrap/>
            <w:vAlign w:val="bottom"/>
            <w:hideMark/>
          </w:tcPr>
          <w:p w:rsidR="00CD4AD3" w:rsidRPr="00586D7C" w:rsidRDefault="00CD4AD3" w:rsidP="00CD4AD3">
            <w:pPr>
              <w:jc w:val="right"/>
              <w:rPr>
                <w:rFonts w:ascii="Times New Roman" w:eastAsia="Times New Roman" w:hAnsi="Times New Roman" w:cs="Times New Roman"/>
                <w:sz w:val="24"/>
                <w:szCs w:val="24"/>
                <w:lang w:eastAsia="en-GB"/>
              </w:rPr>
            </w:pPr>
            <w:r w:rsidRPr="00586D7C">
              <w:rPr>
                <w:rFonts w:ascii="Times New Roman" w:eastAsia="Times New Roman" w:hAnsi="Times New Roman" w:cs="Times New Roman"/>
                <w:sz w:val="24"/>
                <w:szCs w:val="24"/>
                <w:lang w:eastAsia="en-GB"/>
              </w:rPr>
              <w:t>1738</w:t>
            </w:r>
          </w:p>
        </w:tc>
        <w:tc>
          <w:tcPr>
            <w:tcW w:w="1656" w:type="dxa"/>
            <w:tcBorders>
              <w:top w:val="nil"/>
              <w:left w:val="nil"/>
              <w:bottom w:val="nil"/>
              <w:right w:val="nil"/>
            </w:tcBorders>
            <w:shd w:val="clear" w:color="000000" w:fill="FFFFFF"/>
            <w:noWrap/>
            <w:vAlign w:val="bottom"/>
            <w:hideMark/>
          </w:tcPr>
          <w:p w:rsidR="00CD4AD3" w:rsidRPr="00586D7C" w:rsidRDefault="00CD4AD3" w:rsidP="00CD4AD3">
            <w:pPr>
              <w:jc w:val="right"/>
              <w:rPr>
                <w:rFonts w:ascii="Times New Roman" w:eastAsia="Times New Roman" w:hAnsi="Times New Roman" w:cs="Times New Roman"/>
                <w:sz w:val="24"/>
                <w:szCs w:val="24"/>
                <w:lang w:eastAsia="en-GB"/>
              </w:rPr>
            </w:pPr>
            <w:r w:rsidRPr="00586D7C">
              <w:rPr>
                <w:rFonts w:ascii="Times New Roman" w:eastAsia="Times New Roman" w:hAnsi="Times New Roman" w:cs="Times New Roman"/>
                <w:sz w:val="24"/>
                <w:szCs w:val="24"/>
                <w:lang w:eastAsia="en-GB"/>
              </w:rPr>
              <w:t>297</w:t>
            </w:r>
          </w:p>
        </w:tc>
      </w:tr>
    </w:tbl>
    <w:p w:rsidR="00CD4AD3" w:rsidRDefault="00CD4AD3" w:rsidP="005A40B3">
      <w:pPr>
        <w:rPr>
          <w:rFonts w:ascii="Times New Roman" w:hAnsi="Times New Roman" w:cs="Times New Roman"/>
          <w:sz w:val="24"/>
          <w:szCs w:val="24"/>
        </w:rPr>
      </w:pPr>
    </w:p>
    <w:p w:rsidR="006C54E5" w:rsidRPr="006C54E5" w:rsidRDefault="00D3171A" w:rsidP="005A40B3">
      <w:pPr>
        <w:rPr>
          <w:rFonts w:ascii="Times New Roman" w:hAnsi="Times New Roman" w:cs="Times New Roman"/>
          <w:sz w:val="24"/>
          <w:szCs w:val="24"/>
        </w:rPr>
      </w:pPr>
      <w:r w:rsidRPr="00D3171A">
        <w:rPr>
          <w:rFonts w:ascii="Times New Roman" w:hAnsi="Times New Roman" w:cs="Times New Roman"/>
          <w:b/>
          <w:sz w:val="24"/>
          <w:szCs w:val="24"/>
        </w:rPr>
        <w:t>Figure 7</w:t>
      </w:r>
      <w:r>
        <w:rPr>
          <w:rFonts w:ascii="Times New Roman" w:hAnsi="Times New Roman" w:cs="Times New Roman"/>
          <w:sz w:val="24"/>
          <w:szCs w:val="24"/>
        </w:rPr>
        <w:t xml:space="preserve"> show</w:t>
      </w:r>
      <w:r w:rsidR="00205E0A">
        <w:rPr>
          <w:rFonts w:ascii="Times New Roman" w:hAnsi="Times New Roman" w:cs="Times New Roman"/>
          <w:sz w:val="24"/>
          <w:szCs w:val="24"/>
        </w:rPr>
        <w:t>s</w:t>
      </w:r>
      <w:r>
        <w:rPr>
          <w:rFonts w:ascii="Times New Roman" w:hAnsi="Times New Roman" w:cs="Times New Roman"/>
          <w:sz w:val="24"/>
          <w:szCs w:val="24"/>
        </w:rPr>
        <w:t xml:space="preserve"> the monthly number of sanctions by level. Because of the close relationship between reason and ‘level’, </w:t>
      </w:r>
      <w:r w:rsidRPr="00D3171A">
        <w:rPr>
          <w:rFonts w:ascii="Times New Roman" w:hAnsi="Times New Roman" w:cs="Times New Roman"/>
          <w:b/>
          <w:sz w:val="24"/>
          <w:szCs w:val="24"/>
        </w:rPr>
        <w:t>Figure 7</w:t>
      </w:r>
      <w:r>
        <w:rPr>
          <w:rFonts w:ascii="Times New Roman" w:hAnsi="Times New Roman" w:cs="Times New Roman"/>
          <w:sz w:val="24"/>
          <w:szCs w:val="24"/>
        </w:rPr>
        <w:t xml:space="preserve"> looks almost identical to </w:t>
      </w:r>
      <w:r w:rsidRPr="00D3171A">
        <w:rPr>
          <w:rFonts w:ascii="Times New Roman" w:hAnsi="Times New Roman" w:cs="Times New Roman"/>
          <w:b/>
          <w:sz w:val="24"/>
          <w:szCs w:val="24"/>
        </w:rPr>
        <w:t xml:space="preserve">Figure </w:t>
      </w:r>
      <w:r>
        <w:rPr>
          <w:rFonts w:ascii="Times New Roman" w:hAnsi="Times New Roman" w:cs="Times New Roman"/>
          <w:b/>
          <w:sz w:val="24"/>
          <w:szCs w:val="24"/>
        </w:rPr>
        <w:t>5</w:t>
      </w:r>
      <w:r>
        <w:rPr>
          <w:rFonts w:ascii="Times New Roman" w:hAnsi="Times New Roman" w:cs="Times New Roman"/>
          <w:sz w:val="24"/>
          <w:szCs w:val="24"/>
        </w:rPr>
        <w:t xml:space="preserve">. </w:t>
      </w:r>
      <w:r w:rsidR="00205E0A">
        <w:rPr>
          <w:rFonts w:ascii="Times New Roman" w:hAnsi="Times New Roman" w:cs="Times New Roman"/>
          <w:sz w:val="24"/>
          <w:szCs w:val="24"/>
        </w:rPr>
        <w:t xml:space="preserve">‘Low level’ sanctions </w:t>
      </w:r>
      <w:r w:rsidR="0047525E">
        <w:rPr>
          <w:rFonts w:ascii="Times New Roman" w:hAnsi="Times New Roman" w:cs="Times New Roman"/>
          <w:sz w:val="24"/>
          <w:szCs w:val="24"/>
        </w:rPr>
        <w:t>have been</w:t>
      </w:r>
      <w:r w:rsidR="00205E0A">
        <w:rPr>
          <w:rFonts w:ascii="Times New Roman" w:hAnsi="Times New Roman" w:cs="Times New Roman"/>
          <w:sz w:val="24"/>
          <w:szCs w:val="24"/>
        </w:rPr>
        <w:t xml:space="preserve"> dominant throughout, with few sanctions at any other level after </w:t>
      </w:r>
      <w:proofErr w:type="gramStart"/>
      <w:r w:rsidR="00205E0A">
        <w:rPr>
          <w:rFonts w:ascii="Times New Roman" w:hAnsi="Times New Roman" w:cs="Times New Roman"/>
          <w:sz w:val="24"/>
          <w:szCs w:val="24"/>
        </w:rPr>
        <w:t>Autumn</w:t>
      </w:r>
      <w:proofErr w:type="gramEnd"/>
      <w:r w:rsidR="00205E0A">
        <w:rPr>
          <w:rFonts w:ascii="Times New Roman" w:hAnsi="Times New Roman" w:cs="Times New Roman"/>
          <w:sz w:val="24"/>
          <w:szCs w:val="24"/>
        </w:rPr>
        <w:t xml:space="preserve"> 2018.</w:t>
      </w:r>
    </w:p>
    <w:p w:rsidR="006C54E5" w:rsidRDefault="006C54E5" w:rsidP="005A40B3">
      <w:pPr>
        <w:rPr>
          <w:rFonts w:ascii="Times New Roman" w:hAnsi="Times New Roman" w:cs="Times New Roman"/>
          <w:sz w:val="24"/>
          <w:szCs w:val="24"/>
        </w:rPr>
      </w:pPr>
    </w:p>
    <w:p w:rsidR="00D3171A" w:rsidRPr="00D3171A" w:rsidRDefault="00D3171A" w:rsidP="005A40B3">
      <w:pPr>
        <w:rPr>
          <w:rFonts w:ascii="Times New Roman" w:hAnsi="Times New Roman" w:cs="Times New Roman"/>
          <w:b/>
          <w:sz w:val="32"/>
          <w:szCs w:val="32"/>
        </w:rPr>
      </w:pPr>
      <w:r w:rsidRPr="00D3171A">
        <w:rPr>
          <w:rFonts w:ascii="Times New Roman" w:hAnsi="Times New Roman" w:cs="Times New Roman"/>
          <w:b/>
          <w:sz w:val="32"/>
          <w:szCs w:val="32"/>
        </w:rPr>
        <w:t xml:space="preserve">Duration of </w:t>
      </w:r>
      <w:r w:rsidR="00713AA9">
        <w:rPr>
          <w:rFonts w:ascii="Times New Roman" w:hAnsi="Times New Roman" w:cs="Times New Roman"/>
          <w:b/>
          <w:sz w:val="32"/>
          <w:szCs w:val="32"/>
        </w:rPr>
        <w:t xml:space="preserve">completed </w:t>
      </w:r>
      <w:r w:rsidRPr="00D3171A">
        <w:rPr>
          <w:rFonts w:ascii="Times New Roman" w:hAnsi="Times New Roman" w:cs="Times New Roman"/>
          <w:b/>
          <w:sz w:val="32"/>
          <w:szCs w:val="32"/>
        </w:rPr>
        <w:t>sanctions</w:t>
      </w:r>
    </w:p>
    <w:p w:rsidR="00D3171A" w:rsidRDefault="00D3171A" w:rsidP="005A40B3">
      <w:pPr>
        <w:rPr>
          <w:rFonts w:ascii="Times New Roman" w:hAnsi="Times New Roman" w:cs="Times New Roman"/>
          <w:sz w:val="24"/>
          <w:szCs w:val="24"/>
        </w:rPr>
      </w:pPr>
    </w:p>
    <w:p w:rsidR="00D3171A" w:rsidRDefault="00205E0A" w:rsidP="005A40B3">
      <w:pPr>
        <w:rPr>
          <w:rFonts w:ascii="Times New Roman" w:hAnsi="Times New Roman" w:cs="Times New Roman"/>
          <w:sz w:val="24"/>
          <w:szCs w:val="24"/>
        </w:rPr>
      </w:pPr>
      <w:r>
        <w:rPr>
          <w:rFonts w:ascii="Times New Roman" w:hAnsi="Times New Roman" w:cs="Times New Roman"/>
          <w:sz w:val="24"/>
          <w:szCs w:val="24"/>
        </w:rPr>
        <w:t xml:space="preserve">The duration of a sanction is influenced by its level. But because of the dominance of ‘Low level’ sanctions, which have an ‘until compliance’ component, the relationship is not necessarily close. </w:t>
      </w:r>
    </w:p>
    <w:p w:rsidR="006F63AB" w:rsidRDefault="006F63AB" w:rsidP="005A40B3">
      <w:pPr>
        <w:rPr>
          <w:rFonts w:ascii="Times New Roman" w:hAnsi="Times New Roman" w:cs="Times New Roman"/>
          <w:sz w:val="24"/>
          <w:szCs w:val="24"/>
        </w:rPr>
      </w:pPr>
    </w:p>
    <w:p w:rsidR="006F63AB" w:rsidRDefault="006F63AB" w:rsidP="005A40B3">
      <w:pPr>
        <w:rPr>
          <w:rFonts w:ascii="Times New Roman" w:hAnsi="Times New Roman" w:cs="Times New Roman"/>
          <w:sz w:val="24"/>
          <w:szCs w:val="24"/>
        </w:rPr>
      </w:pPr>
      <w:r>
        <w:rPr>
          <w:rFonts w:ascii="Times New Roman" w:hAnsi="Times New Roman" w:cs="Times New Roman"/>
          <w:sz w:val="24"/>
          <w:szCs w:val="24"/>
        </w:rPr>
        <w:t xml:space="preserve">There have always been problems with the DWP’s measure of duration and with the closely related measure of the number of claimants serving a sanction at a point in time (see below). These </w:t>
      </w:r>
      <w:r w:rsidR="0047525E">
        <w:rPr>
          <w:rFonts w:ascii="Times New Roman" w:hAnsi="Times New Roman" w:cs="Times New Roman"/>
          <w:sz w:val="24"/>
          <w:szCs w:val="24"/>
        </w:rPr>
        <w:t xml:space="preserve">problems </w:t>
      </w:r>
      <w:r>
        <w:rPr>
          <w:rFonts w:ascii="Times New Roman" w:hAnsi="Times New Roman" w:cs="Times New Roman"/>
          <w:sz w:val="24"/>
          <w:szCs w:val="24"/>
        </w:rPr>
        <w:t>were discussed in the November 2017 Briefing, pp.</w:t>
      </w:r>
      <w:r w:rsidR="00444450">
        <w:rPr>
          <w:rFonts w:ascii="Times New Roman" w:hAnsi="Times New Roman" w:cs="Times New Roman"/>
          <w:sz w:val="24"/>
          <w:szCs w:val="24"/>
        </w:rPr>
        <w:t xml:space="preserve">6-10; </w:t>
      </w:r>
      <w:r w:rsidR="00E62272">
        <w:rPr>
          <w:rFonts w:ascii="Times New Roman" w:hAnsi="Times New Roman" w:cs="Times New Roman"/>
          <w:sz w:val="24"/>
          <w:szCs w:val="24"/>
        </w:rPr>
        <w:t>some</w:t>
      </w:r>
      <w:r w:rsidR="00444450">
        <w:rPr>
          <w:rFonts w:ascii="Times New Roman" w:hAnsi="Times New Roman" w:cs="Times New Roman"/>
          <w:sz w:val="24"/>
          <w:szCs w:val="24"/>
        </w:rPr>
        <w:t xml:space="preserve"> of the same points still apply</w:t>
      </w:r>
      <w:r w:rsidR="0047525E">
        <w:rPr>
          <w:rFonts w:ascii="Times New Roman" w:hAnsi="Times New Roman" w:cs="Times New Roman"/>
          <w:sz w:val="24"/>
          <w:szCs w:val="24"/>
        </w:rPr>
        <w:t>, although others have been addressed in the DWP’s new methodology</w:t>
      </w:r>
      <w:r>
        <w:rPr>
          <w:rFonts w:ascii="Times New Roman" w:hAnsi="Times New Roman" w:cs="Times New Roman"/>
          <w:sz w:val="24"/>
          <w:szCs w:val="24"/>
        </w:rPr>
        <w:t>.</w:t>
      </w:r>
    </w:p>
    <w:p w:rsidR="00D3171A" w:rsidRDefault="00D3171A" w:rsidP="005A40B3">
      <w:pPr>
        <w:rPr>
          <w:rFonts w:ascii="Times New Roman" w:hAnsi="Times New Roman" w:cs="Times New Roman"/>
          <w:sz w:val="24"/>
          <w:szCs w:val="24"/>
        </w:rPr>
      </w:pPr>
    </w:p>
    <w:p w:rsidR="00D3171A" w:rsidRDefault="006F63AB" w:rsidP="005A40B3">
      <w:pPr>
        <w:rPr>
          <w:rFonts w:ascii="Times New Roman" w:hAnsi="Times New Roman" w:cs="Times New Roman"/>
          <w:sz w:val="24"/>
          <w:szCs w:val="24"/>
        </w:rPr>
      </w:pPr>
      <w:r>
        <w:rPr>
          <w:rFonts w:ascii="Times New Roman" w:hAnsi="Times New Roman" w:cs="Times New Roman"/>
          <w:sz w:val="24"/>
          <w:szCs w:val="24"/>
        </w:rPr>
        <w:t xml:space="preserve">Due to methodological problems, </w:t>
      </w:r>
      <w:r w:rsidR="00612BCB">
        <w:rPr>
          <w:rFonts w:ascii="Times New Roman" w:hAnsi="Times New Roman" w:cs="Times New Roman"/>
          <w:sz w:val="24"/>
          <w:szCs w:val="24"/>
        </w:rPr>
        <w:t xml:space="preserve">DWP suspended publication of duration figures with effect from the November 2020 release, but </w:t>
      </w:r>
      <w:r>
        <w:rPr>
          <w:rFonts w:ascii="Times New Roman" w:hAnsi="Times New Roman" w:cs="Times New Roman"/>
          <w:sz w:val="24"/>
          <w:szCs w:val="24"/>
        </w:rPr>
        <w:t xml:space="preserve">it </w:t>
      </w:r>
      <w:r w:rsidR="00612BCB">
        <w:rPr>
          <w:rFonts w:ascii="Times New Roman" w:hAnsi="Times New Roman" w:cs="Times New Roman"/>
          <w:sz w:val="24"/>
          <w:szCs w:val="24"/>
        </w:rPr>
        <w:t>ha</w:t>
      </w:r>
      <w:r w:rsidR="00471801">
        <w:rPr>
          <w:rFonts w:ascii="Times New Roman" w:hAnsi="Times New Roman" w:cs="Times New Roman"/>
          <w:sz w:val="24"/>
          <w:szCs w:val="24"/>
        </w:rPr>
        <w:t>s</w:t>
      </w:r>
      <w:r w:rsidR="00612BCB">
        <w:rPr>
          <w:rFonts w:ascii="Times New Roman" w:hAnsi="Times New Roman" w:cs="Times New Roman"/>
          <w:sz w:val="24"/>
          <w:szCs w:val="24"/>
        </w:rPr>
        <w:t xml:space="preserve"> now reinstated them</w:t>
      </w:r>
      <w:r w:rsidR="00024B1A">
        <w:rPr>
          <w:rFonts w:ascii="Times New Roman" w:hAnsi="Times New Roman" w:cs="Times New Roman"/>
          <w:sz w:val="24"/>
          <w:szCs w:val="24"/>
        </w:rPr>
        <w:t>, with data running from January 2017</w:t>
      </w:r>
      <w:r w:rsidR="00612BCB">
        <w:rPr>
          <w:rFonts w:ascii="Times New Roman" w:hAnsi="Times New Roman" w:cs="Times New Roman"/>
          <w:sz w:val="24"/>
          <w:szCs w:val="24"/>
        </w:rPr>
        <w:t>.</w:t>
      </w:r>
      <w:r w:rsidR="00024B1A">
        <w:rPr>
          <w:rFonts w:ascii="Times New Roman" w:hAnsi="Times New Roman" w:cs="Times New Roman"/>
          <w:sz w:val="24"/>
          <w:szCs w:val="24"/>
        </w:rPr>
        <w:t xml:space="preserve"> The figures include both Live and Full Service.</w:t>
      </w:r>
      <w:r w:rsidR="00DC7053">
        <w:rPr>
          <w:rFonts w:ascii="Times New Roman" w:hAnsi="Times New Roman" w:cs="Times New Roman"/>
          <w:sz w:val="24"/>
          <w:szCs w:val="24"/>
        </w:rPr>
        <w:t xml:space="preserve"> The methodology has been changed in various ways, explained in the updated methodology document at </w:t>
      </w:r>
      <w:hyperlink r:id="rId16" w:history="1">
        <w:r w:rsidR="00DC7053" w:rsidRPr="000F6E1C">
          <w:rPr>
            <w:rStyle w:val="Hyperlink"/>
            <w:rFonts w:ascii="Times New Roman" w:hAnsi="Times New Roman" w:cs="Times New Roman"/>
            <w:sz w:val="24"/>
            <w:szCs w:val="24"/>
          </w:rPr>
          <w:t>https://www.gov.uk/government/publications/benefit-sanctions-durations-and-sanction-rate-calculation-explanation-of-methodology</w:t>
        </w:r>
      </w:hyperlink>
      <w:r w:rsidR="00DC7053">
        <w:rPr>
          <w:rFonts w:ascii="Times New Roman" w:hAnsi="Times New Roman" w:cs="Times New Roman"/>
          <w:sz w:val="24"/>
          <w:szCs w:val="24"/>
        </w:rPr>
        <w:t xml:space="preserve">  The most important change is that previously a claimant who served two or more sanctions without a break would have them recorded as a single sanction, whereas now they will be shown as separate sanctions.</w:t>
      </w:r>
      <w:r w:rsidR="00D946A1">
        <w:rPr>
          <w:rFonts w:ascii="Times New Roman" w:hAnsi="Times New Roman" w:cs="Times New Roman"/>
          <w:sz w:val="24"/>
          <w:szCs w:val="24"/>
        </w:rPr>
        <w:t xml:space="preserve"> </w:t>
      </w:r>
    </w:p>
    <w:p w:rsidR="00DC7053" w:rsidRDefault="00DC7053" w:rsidP="005A40B3">
      <w:pPr>
        <w:rPr>
          <w:rFonts w:ascii="Times New Roman" w:hAnsi="Times New Roman" w:cs="Times New Roman"/>
          <w:sz w:val="24"/>
          <w:szCs w:val="24"/>
        </w:rPr>
      </w:pPr>
    </w:p>
    <w:p w:rsidR="00DC7053" w:rsidRDefault="00DC7053" w:rsidP="005A40B3">
      <w:pPr>
        <w:rPr>
          <w:rFonts w:ascii="Times New Roman" w:hAnsi="Times New Roman" w:cs="Times New Roman"/>
          <w:sz w:val="24"/>
          <w:szCs w:val="24"/>
        </w:rPr>
      </w:pPr>
      <w:r w:rsidRPr="00DC7053">
        <w:rPr>
          <w:rFonts w:ascii="Times New Roman" w:hAnsi="Times New Roman" w:cs="Times New Roman"/>
          <w:b/>
          <w:sz w:val="24"/>
          <w:szCs w:val="24"/>
        </w:rPr>
        <w:t>Figure 8</w:t>
      </w:r>
      <w:r>
        <w:rPr>
          <w:rFonts w:ascii="Times New Roman" w:hAnsi="Times New Roman" w:cs="Times New Roman"/>
          <w:sz w:val="24"/>
          <w:szCs w:val="24"/>
        </w:rPr>
        <w:t xml:space="preserve"> compares the revised and previously published </w:t>
      </w:r>
      <w:r w:rsidR="00713AA9">
        <w:rPr>
          <w:rFonts w:ascii="Times New Roman" w:hAnsi="Times New Roman" w:cs="Times New Roman"/>
          <w:sz w:val="24"/>
          <w:szCs w:val="24"/>
        </w:rPr>
        <w:t xml:space="preserve">total </w:t>
      </w:r>
      <w:r>
        <w:rPr>
          <w:rFonts w:ascii="Times New Roman" w:hAnsi="Times New Roman" w:cs="Times New Roman"/>
          <w:sz w:val="24"/>
          <w:szCs w:val="24"/>
        </w:rPr>
        <w:t xml:space="preserve">figures for </w:t>
      </w:r>
      <w:r w:rsidR="0047525E">
        <w:rPr>
          <w:rFonts w:ascii="Times New Roman" w:hAnsi="Times New Roman" w:cs="Times New Roman"/>
          <w:sz w:val="24"/>
          <w:szCs w:val="24"/>
        </w:rPr>
        <w:t xml:space="preserve">sanction durations, for </w:t>
      </w:r>
      <w:r>
        <w:rPr>
          <w:rFonts w:ascii="Times New Roman" w:hAnsi="Times New Roman" w:cs="Times New Roman"/>
          <w:sz w:val="24"/>
          <w:szCs w:val="24"/>
        </w:rPr>
        <w:t xml:space="preserve">the whole period which they both cover, i.e. January 2017 to May 2020 inclusive. </w:t>
      </w:r>
      <w:r w:rsidR="002F5ED8">
        <w:rPr>
          <w:rFonts w:ascii="Times New Roman" w:hAnsi="Times New Roman" w:cs="Times New Roman"/>
          <w:sz w:val="24"/>
          <w:szCs w:val="24"/>
        </w:rPr>
        <w:t xml:space="preserve"> The shortest </w:t>
      </w:r>
      <w:r w:rsidR="00E62272">
        <w:rPr>
          <w:rFonts w:ascii="Times New Roman" w:hAnsi="Times New Roman" w:cs="Times New Roman"/>
          <w:sz w:val="24"/>
          <w:szCs w:val="24"/>
        </w:rPr>
        <w:t xml:space="preserve">sanction duration </w:t>
      </w:r>
      <w:r w:rsidR="002F5ED8">
        <w:rPr>
          <w:rFonts w:ascii="Times New Roman" w:hAnsi="Times New Roman" w:cs="Times New Roman"/>
          <w:sz w:val="24"/>
          <w:szCs w:val="24"/>
        </w:rPr>
        <w:t>category, up to 4 weeks, has shrunk, while all the longer categories have increased</w:t>
      </w:r>
      <w:r w:rsidR="0047525E">
        <w:rPr>
          <w:rFonts w:ascii="Times New Roman" w:hAnsi="Times New Roman" w:cs="Times New Roman"/>
          <w:sz w:val="24"/>
          <w:szCs w:val="24"/>
        </w:rPr>
        <w:t>, in other words the new methodology gives longer estimates for sanction durations</w:t>
      </w:r>
      <w:r w:rsidR="002F5ED8">
        <w:rPr>
          <w:rFonts w:ascii="Times New Roman" w:hAnsi="Times New Roman" w:cs="Times New Roman"/>
          <w:sz w:val="24"/>
          <w:szCs w:val="24"/>
        </w:rPr>
        <w:t xml:space="preserve">. Another way of making the comparison is to compare the median lengths </w:t>
      </w:r>
      <w:r w:rsidR="00E62272">
        <w:rPr>
          <w:rFonts w:ascii="Times New Roman" w:hAnsi="Times New Roman" w:cs="Times New Roman"/>
          <w:sz w:val="24"/>
          <w:szCs w:val="24"/>
        </w:rPr>
        <w:t xml:space="preserve">for </w:t>
      </w:r>
      <w:r w:rsidR="00E62272">
        <w:rPr>
          <w:rFonts w:ascii="Times New Roman" w:hAnsi="Times New Roman" w:cs="Times New Roman"/>
          <w:sz w:val="24"/>
          <w:szCs w:val="24"/>
        </w:rPr>
        <w:lastRenderedPageBreak/>
        <w:t>sanctions completed in each month</w:t>
      </w:r>
      <w:r w:rsidR="0047525E">
        <w:rPr>
          <w:rFonts w:ascii="Times New Roman" w:hAnsi="Times New Roman" w:cs="Times New Roman"/>
          <w:sz w:val="24"/>
          <w:szCs w:val="24"/>
        </w:rPr>
        <w:t>, as reported by DWP</w:t>
      </w:r>
      <w:r w:rsidR="00E62272">
        <w:rPr>
          <w:rFonts w:ascii="Times New Roman" w:hAnsi="Times New Roman" w:cs="Times New Roman"/>
          <w:sz w:val="24"/>
          <w:szCs w:val="24"/>
        </w:rPr>
        <w:t xml:space="preserve"> </w:t>
      </w:r>
      <w:r w:rsidR="002F5ED8">
        <w:rPr>
          <w:rFonts w:ascii="Times New Roman" w:hAnsi="Times New Roman" w:cs="Times New Roman"/>
          <w:sz w:val="24"/>
          <w:szCs w:val="24"/>
        </w:rPr>
        <w:t>(</w:t>
      </w:r>
      <w:r w:rsidR="002F5ED8" w:rsidRPr="002F5ED8">
        <w:rPr>
          <w:rFonts w:ascii="Times New Roman" w:hAnsi="Times New Roman" w:cs="Times New Roman"/>
          <w:b/>
          <w:sz w:val="24"/>
          <w:szCs w:val="24"/>
        </w:rPr>
        <w:t>Figure 9</w:t>
      </w:r>
      <w:r w:rsidR="002F5ED8">
        <w:rPr>
          <w:rFonts w:ascii="Times New Roman" w:hAnsi="Times New Roman" w:cs="Times New Roman"/>
          <w:sz w:val="24"/>
          <w:szCs w:val="24"/>
        </w:rPr>
        <w:t xml:space="preserve">). </w:t>
      </w:r>
      <w:r w:rsidR="00DA2B3D">
        <w:rPr>
          <w:rFonts w:ascii="Times New Roman" w:hAnsi="Times New Roman" w:cs="Times New Roman"/>
          <w:sz w:val="24"/>
          <w:szCs w:val="24"/>
        </w:rPr>
        <w:t>This shows that in the run-up to the discontinuation of the statistics in 2020, the previous series was failing to capture a steady increase in the median length</w:t>
      </w:r>
      <w:r w:rsidR="00C43FE8">
        <w:rPr>
          <w:rFonts w:ascii="Times New Roman" w:hAnsi="Times New Roman" w:cs="Times New Roman"/>
          <w:sz w:val="24"/>
          <w:szCs w:val="24"/>
        </w:rPr>
        <w:t>. T</w:t>
      </w:r>
      <w:r w:rsidR="00DA2B3D">
        <w:rPr>
          <w:rFonts w:ascii="Times New Roman" w:hAnsi="Times New Roman" w:cs="Times New Roman"/>
          <w:sz w:val="24"/>
          <w:szCs w:val="24"/>
        </w:rPr>
        <w:t>his supports DWP’s decision to stop publication. However this chart reveals two causes for concern. During the pandemic there was a huge rise in median length</w:t>
      </w:r>
      <w:r w:rsidR="00503633">
        <w:rPr>
          <w:rFonts w:ascii="Times New Roman" w:hAnsi="Times New Roman" w:cs="Times New Roman"/>
          <w:sz w:val="24"/>
          <w:szCs w:val="24"/>
        </w:rPr>
        <w:t>, and although the number of claimants affected was relatively small, this will have been serious for many of them. For 6,559 claimants the median</w:t>
      </w:r>
      <w:r w:rsidR="0047525E">
        <w:rPr>
          <w:rFonts w:ascii="Times New Roman" w:hAnsi="Times New Roman" w:cs="Times New Roman"/>
          <w:sz w:val="24"/>
          <w:szCs w:val="24"/>
        </w:rPr>
        <w:t xml:space="preserve"> duration</w:t>
      </w:r>
      <w:r w:rsidR="00503633">
        <w:rPr>
          <w:rFonts w:ascii="Times New Roman" w:hAnsi="Times New Roman" w:cs="Times New Roman"/>
          <w:sz w:val="24"/>
          <w:szCs w:val="24"/>
        </w:rPr>
        <w:t xml:space="preserve"> rose to 78 days in April 2020</w:t>
      </w:r>
      <w:r w:rsidR="00713AA9">
        <w:rPr>
          <w:rFonts w:ascii="Times New Roman" w:hAnsi="Times New Roman" w:cs="Times New Roman"/>
          <w:sz w:val="24"/>
          <w:szCs w:val="24"/>
        </w:rPr>
        <w:t xml:space="preserve"> and</w:t>
      </w:r>
      <w:r w:rsidR="00503633">
        <w:rPr>
          <w:rFonts w:ascii="Times New Roman" w:hAnsi="Times New Roman" w:cs="Times New Roman"/>
          <w:sz w:val="24"/>
          <w:szCs w:val="24"/>
        </w:rPr>
        <w:t xml:space="preserve"> for 1,906 </w:t>
      </w:r>
      <w:r w:rsidR="00713AA9">
        <w:rPr>
          <w:rFonts w:ascii="Times New Roman" w:hAnsi="Times New Roman" w:cs="Times New Roman"/>
          <w:sz w:val="24"/>
          <w:szCs w:val="24"/>
        </w:rPr>
        <w:t xml:space="preserve">claimants </w:t>
      </w:r>
      <w:r w:rsidR="00503633">
        <w:rPr>
          <w:rFonts w:ascii="Times New Roman" w:hAnsi="Times New Roman" w:cs="Times New Roman"/>
          <w:sz w:val="24"/>
          <w:szCs w:val="24"/>
        </w:rPr>
        <w:t>to 113 days in May 2020</w:t>
      </w:r>
      <w:r w:rsidR="0047525E">
        <w:rPr>
          <w:rFonts w:ascii="Times New Roman" w:hAnsi="Times New Roman" w:cs="Times New Roman"/>
          <w:sz w:val="24"/>
          <w:szCs w:val="24"/>
        </w:rPr>
        <w:t>.</w:t>
      </w:r>
      <w:r w:rsidR="00503633">
        <w:rPr>
          <w:rFonts w:ascii="Times New Roman" w:hAnsi="Times New Roman" w:cs="Times New Roman"/>
          <w:sz w:val="24"/>
          <w:szCs w:val="24"/>
        </w:rPr>
        <w:t xml:space="preserve"> </w:t>
      </w:r>
      <w:r w:rsidR="00301F04">
        <w:rPr>
          <w:rFonts w:ascii="Times New Roman" w:hAnsi="Times New Roman" w:cs="Times New Roman"/>
          <w:sz w:val="24"/>
          <w:szCs w:val="24"/>
        </w:rPr>
        <w:t>T</w:t>
      </w:r>
      <w:r w:rsidR="00503633">
        <w:rPr>
          <w:rFonts w:ascii="Times New Roman" w:hAnsi="Times New Roman" w:cs="Times New Roman"/>
          <w:sz w:val="24"/>
          <w:szCs w:val="24"/>
        </w:rPr>
        <w:t>hereafter the number affected was in the low hundreds, peaking at 338 days for 169 claimants in January 2021. The</w:t>
      </w:r>
      <w:r w:rsidR="00301F04">
        <w:rPr>
          <w:rFonts w:ascii="Times New Roman" w:hAnsi="Times New Roman" w:cs="Times New Roman"/>
          <w:sz w:val="24"/>
          <w:szCs w:val="24"/>
        </w:rPr>
        <w:t xml:space="preserve"> most likely explanation for these huge lengths appears likely to be that due to the pandemic these claimants were unable to demonstrate ‘compliance’. If this is the case then it </w:t>
      </w:r>
      <w:r w:rsidR="00C43FE8">
        <w:rPr>
          <w:rFonts w:ascii="Times New Roman" w:hAnsi="Times New Roman" w:cs="Times New Roman"/>
          <w:sz w:val="24"/>
          <w:szCs w:val="24"/>
        </w:rPr>
        <w:t xml:space="preserve">will have </w:t>
      </w:r>
      <w:r w:rsidR="00D96796">
        <w:rPr>
          <w:rFonts w:ascii="Times New Roman" w:hAnsi="Times New Roman" w:cs="Times New Roman"/>
          <w:sz w:val="24"/>
          <w:szCs w:val="24"/>
        </w:rPr>
        <w:t xml:space="preserve">potentially </w:t>
      </w:r>
      <w:r w:rsidR="00C43FE8">
        <w:rPr>
          <w:rFonts w:ascii="Times New Roman" w:hAnsi="Times New Roman" w:cs="Times New Roman"/>
          <w:sz w:val="24"/>
          <w:szCs w:val="24"/>
        </w:rPr>
        <w:t>been</w:t>
      </w:r>
      <w:r w:rsidR="00301F04">
        <w:rPr>
          <w:rFonts w:ascii="Times New Roman" w:hAnsi="Times New Roman" w:cs="Times New Roman"/>
          <w:sz w:val="24"/>
          <w:szCs w:val="24"/>
        </w:rPr>
        <w:t xml:space="preserve"> a serious injustice.</w:t>
      </w:r>
      <w:r w:rsidR="00713AA9">
        <w:rPr>
          <w:rFonts w:ascii="Times New Roman" w:hAnsi="Times New Roman" w:cs="Times New Roman"/>
          <w:sz w:val="24"/>
          <w:szCs w:val="24"/>
        </w:rPr>
        <w:t xml:space="preserve"> The other issue is that median lengths are substantially greater now than before the pandemic. On the basis of the new figures, </w:t>
      </w:r>
      <w:r w:rsidR="00BB34EF">
        <w:rPr>
          <w:rFonts w:ascii="Times New Roman" w:hAnsi="Times New Roman" w:cs="Times New Roman"/>
          <w:sz w:val="24"/>
          <w:szCs w:val="24"/>
        </w:rPr>
        <w:t>up</w:t>
      </w:r>
      <w:r w:rsidR="00713AA9">
        <w:rPr>
          <w:rFonts w:ascii="Times New Roman" w:hAnsi="Times New Roman" w:cs="Times New Roman"/>
          <w:sz w:val="24"/>
          <w:szCs w:val="24"/>
        </w:rPr>
        <w:t xml:space="preserve"> to </w:t>
      </w:r>
      <w:r w:rsidR="00BB34EF">
        <w:rPr>
          <w:rFonts w:ascii="Times New Roman" w:hAnsi="Times New Roman" w:cs="Times New Roman"/>
          <w:sz w:val="24"/>
          <w:szCs w:val="24"/>
        </w:rPr>
        <w:t>February 2020 the median averaged 36 days, but since</w:t>
      </w:r>
      <w:r w:rsidR="00713AA9">
        <w:rPr>
          <w:rFonts w:ascii="Times New Roman" w:hAnsi="Times New Roman" w:cs="Times New Roman"/>
          <w:sz w:val="24"/>
          <w:szCs w:val="24"/>
        </w:rPr>
        <w:t xml:space="preserve"> August 2021 </w:t>
      </w:r>
      <w:r w:rsidR="00BB34EF">
        <w:rPr>
          <w:rFonts w:ascii="Times New Roman" w:hAnsi="Times New Roman" w:cs="Times New Roman"/>
          <w:sz w:val="24"/>
          <w:szCs w:val="24"/>
        </w:rPr>
        <w:t>it has</w:t>
      </w:r>
      <w:r w:rsidR="00713AA9">
        <w:rPr>
          <w:rFonts w:ascii="Times New Roman" w:hAnsi="Times New Roman" w:cs="Times New Roman"/>
          <w:sz w:val="24"/>
          <w:szCs w:val="24"/>
        </w:rPr>
        <w:t xml:space="preserve"> averaged 45.75 </w:t>
      </w:r>
      <w:r w:rsidR="00BB34EF">
        <w:rPr>
          <w:rFonts w:ascii="Times New Roman" w:hAnsi="Times New Roman" w:cs="Times New Roman"/>
          <w:sz w:val="24"/>
          <w:szCs w:val="24"/>
        </w:rPr>
        <w:t>day</w:t>
      </w:r>
      <w:r w:rsidR="00713AA9">
        <w:rPr>
          <w:rFonts w:ascii="Times New Roman" w:hAnsi="Times New Roman" w:cs="Times New Roman"/>
          <w:sz w:val="24"/>
          <w:szCs w:val="24"/>
        </w:rPr>
        <w:t>s</w:t>
      </w:r>
      <w:r w:rsidR="00BB34EF">
        <w:rPr>
          <w:rFonts w:ascii="Times New Roman" w:hAnsi="Times New Roman" w:cs="Times New Roman"/>
          <w:sz w:val="24"/>
          <w:szCs w:val="24"/>
        </w:rPr>
        <w:t>.</w:t>
      </w:r>
      <w:r w:rsidR="00713AA9">
        <w:rPr>
          <w:rFonts w:ascii="Times New Roman" w:hAnsi="Times New Roman" w:cs="Times New Roman"/>
          <w:sz w:val="24"/>
          <w:szCs w:val="24"/>
        </w:rPr>
        <w:t xml:space="preserve"> </w:t>
      </w:r>
    </w:p>
    <w:p w:rsidR="00612BCB" w:rsidRDefault="00612BCB" w:rsidP="005A40B3">
      <w:pPr>
        <w:rPr>
          <w:rFonts w:ascii="Times New Roman" w:hAnsi="Times New Roman" w:cs="Times New Roman"/>
          <w:sz w:val="24"/>
          <w:szCs w:val="24"/>
        </w:rPr>
      </w:pPr>
    </w:p>
    <w:p w:rsidR="00612BCB" w:rsidRDefault="00EE6A89" w:rsidP="005A40B3">
      <w:pPr>
        <w:rPr>
          <w:rFonts w:ascii="Times New Roman" w:hAnsi="Times New Roman" w:cs="Times New Roman"/>
          <w:sz w:val="24"/>
          <w:szCs w:val="24"/>
        </w:rPr>
      </w:pPr>
      <w:proofErr w:type="gramStart"/>
      <w:r w:rsidRPr="00E13CD6">
        <w:rPr>
          <w:rFonts w:ascii="Times New Roman" w:hAnsi="Times New Roman" w:cs="Times New Roman"/>
          <w:b/>
          <w:sz w:val="24"/>
          <w:szCs w:val="24"/>
        </w:rPr>
        <w:t xml:space="preserve">Figures 10 </w:t>
      </w:r>
      <w:r w:rsidR="00E13CD6" w:rsidRPr="00E13CD6">
        <w:rPr>
          <w:rFonts w:ascii="Times New Roman" w:hAnsi="Times New Roman" w:cs="Times New Roman"/>
          <w:b/>
          <w:sz w:val="24"/>
          <w:szCs w:val="24"/>
        </w:rPr>
        <w:t>and 11</w:t>
      </w:r>
      <w:r w:rsidR="00E13CD6">
        <w:rPr>
          <w:rFonts w:ascii="Times New Roman" w:hAnsi="Times New Roman" w:cs="Times New Roman"/>
          <w:sz w:val="24"/>
          <w:szCs w:val="24"/>
        </w:rPr>
        <w:t xml:space="preserve"> </w:t>
      </w:r>
      <w:r>
        <w:rPr>
          <w:rFonts w:ascii="Times New Roman" w:hAnsi="Times New Roman" w:cs="Times New Roman"/>
          <w:sz w:val="24"/>
          <w:szCs w:val="24"/>
        </w:rPr>
        <w:t>show the numbers and percentages of completed sanctions fallin</w:t>
      </w:r>
      <w:r w:rsidR="00042A8D">
        <w:rPr>
          <w:rFonts w:ascii="Times New Roman" w:hAnsi="Times New Roman" w:cs="Times New Roman"/>
          <w:sz w:val="24"/>
          <w:szCs w:val="24"/>
        </w:rPr>
        <w:t xml:space="preserve">g into each duration category, </w:t>
      </w:r>
      <w:r>
        <w:rPr>
          <w:rFonts w:ascii="Times New Roman" w:hAnsi="Times New Roman" w:cs="Times New Roman"/>
          <w:sz w:val="24"/>
          <w:szCs w:val="24"/>
        </w:rPr>
        <w:t>monthly since January 2017.</w:t>
      </w:r>
      <w:proofErr w:type="gramEnd"/>
      <w:r>
        <w:rPr>
          <w:rFonts w:ascii="Times New Roman" w:hAnsi="Times New Roman" w:cs="Times New Roman"/>
          <w:sz w:val="24"/>
          <w:szCs w:val="24"/>
        </w:rPr>
        <w:t xml:space="preserve"> Each month there are now more than 20,000 claimants completing a sanction after 5 </w:t>
      </w:r>
      <w:r w:rsidR="00F4640E">
        <w:rPr>
          <w:rFonts w:ascii="Times New Roman" w:hAnsi="Times New Roman" w:cs="Times New Roman"/>
          <w:sz w:val="24"/>
          <w:szCs w:val="24"/>
        </w:rPr>
        <w:t xml:space="preserve">to 13 </w:t>
      </w:r>
      <w:r>
        <w:rPr>
          <w:rFonts w:ascii="Times New Roman" w:hAnsi="Times New Roman" w:cs="Times New Roman"/>
          <w:sz w:val="24"/>
          <w:szCs w:val="24"/>
        </w:rPr>
        <w:t xml:space="preserve">weeks, and around 4,000 completing sanctions after 14 </w:t>
      </w:r>
      <w:r w:rsidR="00F4640E">
        <w:rPr>
          <w:rFonts w:ascii="Times New Roman" w:hAnsi="Times New Roman" w:cs="Times New Roman"/>
          <w:sz w:val="24"/>
          <w:szCs w:val="24"/>
        </w:rPr>
        <w:t xml:space="preserve">to 26 </w:t>
      </w:r>
      <w:r>
        <w:rPr>
          <w:rFonts w:ascii="Times New Roman" w:hAnsi="Times New Roman" w:cs="Times New Roman"/>
          <w:sz w:val="24"/>
          <w:szCs w:val="24"/>
        </w:rPr>
        <w:t>weeks</w:t>
      </w:r>
      <w:r w:rsidR="00D96796">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042A8D">
        <w:rPr>
          <w:rFonts w:ascii="Times New Roman" w:hAnsi="Times New Roman" w:cs="Times New Roman"/>
          <w:sz w:val="24"/>
          <w:szCs w:val="24"/>
        </w:rPr>
        <w:t xml:space="preserve">another 4,000 </w:t>
      </w:r>
      <w:r>
        <w:rPr>
          <w:rFonts w:ascii="Times New Roman" w:hAnsi="Times New Roman" w:cs="Times New Roman"/>
          <w:sz w:val="24"/>
          <w:szCs w:val="24"/>
        </w:rPr>
        <w:t>after 27 weeks</w:t>
      </w:r>
      <w:r w:rsidR="00D96796">
        <w:rPr>
          <w:rFonts w:ascii="Times New Roman" w:hAnsi="Times New Roman" w:cs="Times New Roman"/>
          <w:sz w:val="24"/>
          <w:szCs w:val="24"/>
        </w:rPr>
        <w:t xml:space="preserve"> </w:t>
      </w:r>
      <w:r w:rsidR="00F4640E">
        <w:rPr>
          <w:rFonts w:ascii="Times New Roman" w:hAnsi="Times New Roman" w:cs="Times New Roman"/>
          <w:sz w:val="24"/>
          <w:szCs w:val="24"/>
        </w:rPr>
        <w:t xml:space="preserve">or </w:t>
      </w:r>
      <w:proofErr w:type="gramStart"/>
      <w:r w:rsidR="00F4640E">
        <w:rPr>
          <w:rFonts w:ascii="Times New Roman" w:hAnsi="Times New Roman" w:cs="Times New Roman"/>
          <w:sz w:val="24"/>
          <w:szCs w:val="24"/>
        </w:rPr>
        <w:t>more</w:t>
      </w:r>
      <w:r>
        <w:rPr>
          <w:rFonts w:ascii="Times New Roman" w:hAnsi="Times New Roman" w:cs="Times New Roman"/>
          <w:sz w:val="24"/>
          <w:szCs w:val="24"/>
        </w:rPr>
        <w:t>.</w:t>
      </w:r>
      <w:proofErr w:type="gramEnd"/>
      <w:r>
        <w:rPr>
          <w:rFonts w:ascii="Times New Roman" w:hAnsi="Times New Roman" w:cs="Times New Roman"/>
          <w:sz w:val="24"/>
          <w:szCs w:val="24"/>
        </w:rPr>
        <w:t xml:space="preserve">  About half of completed sanctions </w:t>
      </w:r>
      <w:r w:rsidR="00393530">
        <w:rPr>
          <w:rFonts w:ascii="Times New Roman" w:hAnsi="Times New Roman" w:cs="Times New Roman"/>
          <w:sz w:val="24"/>
          <w:szCs w:val="24"/>
        </w:rPr>
        <w:t>are lasting</w:t>
      </w:r>
      <w:r>
        <w:rPr>
          <w:rFonts w:ascii="Times New Roman" w:hAnsi="Times New Roman" w:cs="Times New Roman"/>
          <w:sz w:val="24"/>
          <w:szCs w:val="24"/>
        </w:rPr>
        <w:t xml:space="preserve"> between 5 and 13 weeks, and about 10% have lasted each of 14 </w:t>
      </w:r>
      <w:r w:rsidR="00C43FE8">
        <w:rPr>
          <w:rFonts w:ascii="Times New Roman" w:hAnsi="Times New Roman" w:cs="Times New Roman"/>
          <w:sz w:val="24"/>
          <w:szCs w:val="24"/>
        </w:rPr>
        <w:t>to</w:t>
      </w:r>
      <w:r>
        <w:rPr>
          <w:rFonts w:ascii="Times New Roman" w:hAnsi="Times New Roman" w:cs="Times New Roman"/>
          <w:sz w:val="24"/>
          <w:szCs w:val="24"/>
        </w:rPr>
        <w:t xml:space="preserve"> 26 weeks, and 27 weeks or more.</w:t>
      </w:r>
      <w:r w:rsidR="009422EA">
        <w:rPr>
          <w:rFonts w:ascii="Times New Roman" w:hAnsi="Times New Roman" w:cs="Times New Roman"/>
          <w:sz w:val="24"/>
          <w:szCs w:val="24"/>
        </w:rPr>
        <w:t xml:space="preserve"> </w:t>
      </w:r>
      <w:r w:rsidR="006119D4">
        <w:rPr>
          <w:rFonts w:ascii="Times New Roman" w:hAnsi="Times New Roman" w:cs="Times New Roman"/>
          <w:sz w:val="24"/>
          <w:szCs w:val="24"/>
        </w:rPr>
        <w:t>In the latest quarter the median duration was 44 days or over 6 weeks.</w:t>
      </w:r>
    </w:p>
    <w:p w:rsidR="009422EA" w:rsidRDefault="009422EA" w:rsidP="005A40B3">
      <w:pPr>
        <w:rPr>
          <w:rFonts w:ascii="Times New Roman" w:hAnsi="Times New Roman" w:cs="Times New Roman"/>
          <w:sz w:val="24"/>
          <w:szCs w:val="24"/>
        </w:rPr>
      </w:pPr>
    </w:p>
    <w:p w:rsidR="00243736" w:rsidRPr="00042A8D" w:rsidRDefault="00042A8D" w:rsidP="005A40B3">
      <w:pPr>
        <w:rPr>
          <w:rFonts w:ascii="Times New Roman" w:hAnsi="Times New Roman" w:cs="Times New Roman"/>
          <w:b/>
          <w:i/>
          <w:sz w:val="24"/>
          <w:szCs w:val="24"/>
        </w:rPr>
      </w:pPr>
      <w:r w:rsidRPr="00042A8D">
        <w:rPr>
          <w:rFonts w:ascii="Times New Roman" w:hAnsi="Times New Roman" w:cs="Times New Roman"/>
          <w:b/>
          <w:i/>
          <w:sz w:val="24"/>
          <w:szCs w:val="24"/>
        </w:rPr>
        <w:t>Average (mean) sanction length</w:t>
      </w:r>
    </w:p>
    <w:p w:rsidR="00042A8D" w:rsidRDefault="00042A8D" w:rsidP="005A40B3">
      <w:pPr>
        <w:rPr>
          <w:rFonts w:ascii="Times New Roman" w:hAnsi="Times New Roman" w:cs="Times New Roman"/>
          <w:sz w:val="24"/>
          <w:szCs w:val="24"/>
        </w:rPr>
      </w:pPr>
    </w:p>
    <w:p w:rsidR="00243736" w:rsidRPr="00917EFA" w:rsidRDefault="00174B1E" w:rsidP="00444450">
      <w:pPr>
        <w:pStyle w:val="NormalWeb"/>
        <w:spacing w:before="0" w:beforeAutospacing="0" w:after="0" w:afterAutospacing="0"/>
      </w:pPr>
      <w:r>
        <w:t>DWP does not publish the mean sanction length</w:t>
      </w:r>
      <w:r w:rsidR="00E62272">
        <w:t>. However, the more comprehensive data on sanction lengths now published can be used to make a good estimate of the mean using the method explained in the November 2017 Briefing, Note 7.</w:t>
      </w:r>
      <w:r w:rsidR="00E62272">
        <w:rPr>
          <w:rStyle w:val="EndnoteReference"/>
        </w:rPr>
        <w:endnoteReference w:id="5"/>
      </w:r>
      <w:r w:rsidR="00E62272">
        <w:t xml:space="preserve"> </w:t>
      </w:r>
      <w:r w:rsidR="00C43FE8">
        <w:t xml:space="preserve">For sanctions completed in the most recent quarter the mean duration is now estimated as approximately 63 days (9 weeks or 2.1 months). </w:t>
      </w:r>
      <w:r>
        <w:t>This is a</w:t>
      </w:r>
      <w:r w:rsidR="00C43FE8">
        <w:t xml:space="preserve"> substantial reduction from the Briefing’s previous estimate, using a cruder method, </w:t>
      </w:r>
      <w:r w:rsidR="006119D4">
        <w:t>which was</w:t>
      </w:r>
      <w:r w:rsidR="00C43FE8">
        <w:t xml:space="preserve"> 11-12 weeks</w:t>
      </w:r>
      <w:r w:rsidR="006119D4">
        <w:t>.</w:t>
      </w:r>
      <w:r w:rsidR="00F4640E">
        <w:t xml:space="preserve"> </w:t>
      </w:r>
      <w:r w:rsidR="006119D4">
        <w:t>B</w:t>
      </w:r>
      <w:r w:rsidR="00F4640E">
        <w:t>ut it is still strikingly higher than the median</w:t>
      </w:r>
      <w:r w:rsidR="006119D4">
        <w:t xml:space="preserve"> of 44 days</w:t>
      </w:r>
      <w:r w:rsidR="00C43FE8">
        <w:t xml:space="preserve">. </w:t>
      </w:r>
      <w:r>
        <w:t xml:space="preserve"> </w:t>
      </w:r>
    </w:p>
    <w:p w:rsidR="00243736" w:rsidRPr="00917EFA" w:rsidRDefault="00243736" w:rsidP="00243736">
      <w:pPr>
        <w:pStyle w:val="NormalWeb"/>
        <w:spacing w:before="0" w:beforeAutospacing="0" w:after="0" w:afterAutospacing="0"/>
      </w:pPr>
    </w:p>
    <w:p w:rsidR="009422EA" w:rsidRPr="00EA255C" w:rsidRDefault="00EA255C" w:rsidP="005A40B3">
      <w:pPr>
        <w:rPr>
          <w:rFonts w:ascii="Times New Roman" w:hAnsi="Times New Roman" w:cs="Times New Roman"/>
          <w:b/>
          <w:sz w:val="32"/>
          <w:szCs w:val="32"/>
        </w:rPr>
      </w:pPr>
      <w:r w:rsidRPr="00EA255C">
        <w:rPr>
          <w:rFonts w:ascii="Times New Roman" w:hAnsi="Times New Roman" w:cs="Times New Roman"/>
          <w:b/>
          <w:sz w:val="32"/>
          <w:szCs w:val="32"/>
        </w:rPr>
        <w:t>Disengaged sanctioned claimants</w:t>
      </w:r>
    </w:p>
    <w:p w:rsidR="00EA255C" w:rsidRDefault="00EA255C" w:rsidP="005A40B3">
      <w:pPr>
        <w:rPr>
          <w:rFonts w:ascii="Times New Roman" w:hAnsi="Times New Roman" w:cs="Times New Roman"/>
          <w:sz w:val="24"/>
          <w:szCs w:val="24"/>
        </w:rPr>
      </w:pPr>
    </w:p>
    <w:p w:rsidR="00EA255C" w:rsidRDefault="00EA255C" w:rsidP="005A40B3">
      <w:pPr>
        <w:rPr>
          <w:rFonts w:ascii="Times New Roman" w:hAnsi="Times New Roman" w:cs="Times New Roman"/>
          <w:sz w:val="24"/>
          <w:szCs w:val="24"/>
        </w:rPr>
      </w:pPr>
      <w:r>
        <w:rPr>
          <w:rFonts w:ascii="Times New Roman" w:hAnsi="Times New Roman" w:cs="Times New Roman"/>
          <w:sz w:val="24"/>
          <w:szCs w:val="24"/>
        </w:rPr>
        <w:t>In December</w:t>
      </w:r>
      <w:r w:rsidR="00D801DA">
        <w:rPr>
          <w:rFonts w:ascii="Times New Roman" w:hAnsi="Times New Roman" w:cs="Times New Roman"/>
          <w:sz w:val="24"/>
          <w:szCs w:val="24"/>
        </w:rPr>
        <w:t xml:space="preserve"> 2023</w:t>
      </w:r>
      <w:r>
        <w:rPr>
          <w:rFonts w:ascii="Times New Roman" w:hAnsi="Times New Roman" w:cs="Times New Roman"/>
          <w:sz w:val="24"/>
          <w:szCs w:val="24"/>
        </w:rPr>
        <w:t xml:space="preserve">, at </w:t>
      </w:r>
      <w:hyperlink r:id="rId17" w:history="1">
        <w:r w:rsidRPr="000F6E1C">
          <w:rPr>
            <w:rStyle w:val="Hyperlink"/>
            <w:rFonts w:ascii="Times New Roman" w:hAnsi="Times New Roman" w:cs="Times New Roman"/>
            <w:sz w:val="24"/>
            <w:szCs w:val="24"/>
          </w:rPr>
          <w:t>https://www.gov.uk/government/publications/sanctioned-disengaged-claimants-april-2019-to-august-2023</w:t>
        </w:r>
      </w:hyperlink>
      <w:proofErr w:type="gramStart"/>
      <w:r>
        <w:rPr>
          <w:rFonts w:ascii="Times New Roman" w:hAnsi="Times New Roman" w:cs="Times New Roman"/>
          <w:sz w:val="24"/>
          <w:szCs w:val="24"/>
        </w:rPr>
        <w:t>,  DWP</w:t>
      </w:r>
      <w:proofErr w:type="gramEnd"/>
      <w:r>
        <w:rPr>
          <w:rFonts w:ascii="Times New Roman" w:hAnsi="Times New Roman" w:cs="Times New Roman"/>
          <w:sz w:val="24"/>
          <w:szCs w:val="24"/>
        </w:rPr>
        <w:t xml:space="preserve"> published statistics on ‘disengaged sanctioned claimants’, i.e. those claimants serving open-ended Low or Lowest sanctions who are not in contact with their Jobcentre. These were the subject of a special Briefing which is available at </w:t>
      </w:r>
      <w:hyperlink r:id="rId18" w:history="1">
        <w:r w:rsidRPr="000F6E1C">
          <w:rPr>
            <w:rStyle w:val="Hyperlink"/>
            <w:rFonts w:ascii="Times New Roman" w:hAnsi="Times New Roman" w:cs="Times New Roman"/>
            <w:sz w:val="24"/>
            <w:szCs w:val="24"/>
          </w:rPr>
          <w:t>https://cpag.org.uk/policy-and-research/latest-policy-briefings-and-reports/david-webster-briefings</w:t>
        </w:r>
      </w:hyperlink>
    </w:p>
    <w:p w:rsidR="00EA255C" w:rsidRDefault="00EA255C" w:rsidP="005A40B3">
      <w:pPr>
        <w:rPr>
          <w:rFonts w:ascii="Times New Roman" w:hAnsi="Times New Roman" w:cs="Times New Roman"/>
          <w:sz w:val="24"/>
          <w:szCs w:val="24"/>
        </w:rPr>
      </w:pPr>
    </w:p>
    <w:p w:rsidR="00EA255C" w:rsidRDefault="00EA255C" w:rsidP="005A40B3">
      <w:pPr>
        <w:rPr>
          <w:rFonts w:ascii="Times New Roman" w:hAnsi="Times New Roman" w:cs="Times New Roman"/>
          <w:sz w:val="24"/>
          <w:szCs w:val="24"/>
        </w:rPr>
      </w:pPr>
      <w:r>
        <w:rPr>
          <w:rFonts w:ascii="Times New Roman" w:hAnsi="Times New Roman" w:cs="Times New Roman"/>
          <w:sz w:val="24"/>
          <w:szCs w:val="24"/>
        </w:rPr>
        <w:t xml:space="preserve">The DWP’s duration statistics relate only to completed sanctions, and therefore the figures on disengaged sanctioned claimants do not fall within them as by definition their sanctions are uncompleted. They are however a significant part of the duration </w:t>
      </w:r>
      <w:proofErr w:type="gramStart"/>
      <w:r>
        <w:rPr>
          <w:rFonts w:ascii="Times New Roman" w:hAnsi="Times New Roman" w:cs="Times New Roman"/>
          <w:sz w:val="24"/>
          <w:szCs w:val="24"/>
        </w:rPr>
        <w:t>picture</w:t>
      </w:r>
      <w:proofErr w:type="gramEnd"/>
      <w:r>
        <w:rPr>
          <w:rFonts w:ascii="Times New Roman" w:hAnsi="Times New Roman" w:cs="Times New Roman"/>
          <w:sz w:val="24"/>
          <w:szCs w:val="24"/>
        </w:rPr>
        <w:t xml:space="preserve">. The special Briefing showed that about </w:t>
      </w:r>
      <w:r w:rsidR="00691F26">
        <w:rPr>
          <w:rFonts w:ascii="Times New Roman" w:hAnsi="Times New Roman" w:cs="Times New Roman"/>
          <w:sz w:val="24"/>
          <w:szCs w:val="24"/>
        </w:rPr>
        <w:t>3,200 claimants per month are on open-ended sanctions and are reaching the 6-month duration point.</w:t>
      </w:r>
    </w:p>
    <w:p w:rsidR="00EA255C" w:rsidRDefault="00EA255C" w:rsidP="005A40B3">
      <w:pPr>
        <w:rPr>
          <w:rFonts w:ascii="Times New Roman" w:hAnsi="Times New Roman" w:cs="Times New Roman"/>
          <w:sz w:val="24"/>
          <w:szCs w:val="24"/>
        </w:rPr>
      </w:pPr>
    </w:p>
    <w:p w:rsidR="00D3171A" w:rsidRDefault="00D3171A" w:rsidP="005A40B3">
      <w:pPr>
        <w:rPr>
          <w:rFonts w:ascii="Times New Roman" w:hAnsi="Times New Roman" w:cs="Times New Roman"/>
          <w:sz w:val="24"/>
          <w:szCs w:val="24"/>
        </w:rPr>
      </w:pPr>
    </w:p>
    <w:p w:rsidR="00533DE1" w:rsidRPr="00917EFA" w:rsidRDefault="00691F26" w:rsidP="005A40B3">
      <w:pPr>
        <w:rPr>
          <w:rFonts w:ascii="Times New Roman" w:hAnsi="Times New Roman" w:cs="Times New Roman"/>
          <w:b/>
          <w:sz w:val="32"/>
          <w:szCs w:val="32"/>
        </w:rPr>
      </w:pPr>
      <w:r w:rsidRPr="00917EFA">
        <w:rPr>
          <w:rFonts w:ascii="Times New Roman" w:hAnsi="Times New Roman" w:cs="Times New Roman"/>
          <w:b/>
          <w:sz w:val="32"/>
          <w:szCs w:val="32"/>
        </w:rPr>
        <w:lastRenderedPageBreak/>
        <w:t xml:space="preserve">Universal </w:t>
      </w:r>
      <w:r w:rsidR="005F0F04">
        <w:rPr>
          <w:rFonts w:ascii="Times New Roman" w:hAnsi="Times New Roman" w:cs="Times New Roman"/>
          <w:b/>
          <w:sz w:val="32"/>
          <w:szCs w:val="32"/>
        </w:rPr>
        <w:t>C</w:t>
      </w:r>
      <w:r w:rsidRPr="00917EFA">
        <w:rPr>
          <w:rFonts w:ascii="Times New Roman" w:hAnsi="Times New Roman" w:cs="Times New Roman"/>
          <w:b/>
          <w:sz w:val="32"/>
          <w:szCs w:val="32"/>
        </w:rPr>
        <w:t xml:space="preserve">redit </w:t>
      </w:r>
      <w:r>
        <w:rPr>
          <w:rFonts w:ascii="Times New Roman" w:hAnsi="Times New Roman" w:cs="Times New Roman"/>
          <w:b/>
          <w:sz w:val="32"/>
          <w:szCs w:val="32"/>
        </w:rPr>
        <w:t>c</w:t>
      </w:r>
      <w:r w:rsidRPr="00917EFA">
        <w:rPr>
          <w:rFonts w:ascii="Times New Roman" w:hAnsi="Times New Roman" w:cs="Times New Roman"/>
          <w:b/>
          <w:sz w:val="32"/>
          <w:szCs w:val="32"/>
        </w:rPr>
        <w:t xml:space="preserve">laimants </w:t>
      </w:r>
      <w:r>
        <w:rPr>
          <w:rFonts w:ascii="Times New Roman" w:hAnsi="Times New Roman" w:cs="Times New Roman"/>
          <w:b/>
          <w:sz w:val="32"/>
          <w:szCs w:val="32"/>
        </w:rPr>
        <w:t>serving a</w:t>
      </w:r>
      <w:r w:rsidRPr="00917EFA">
        <w:rPr>
          <w:rFonts w:ascii="Times New Roman" w:hAnsi="Times New Roman" w:cs="Times New Roman"/>
          <w:b/>
          <w:sz w:val="32"/>
          <w:szCs w:val="32"/>
        </w:rPr>
        <w:t xml:space="preserve"> </w:t>
      </w:r>
      <w:r>
        <w:rPr>
          <w:rFonts w:ascii="Times New Roman" w:hAnsi="Times New Roman" w:cs="Times New Roman"/>
          <w:b/>
          <w:sz w:val="32"/>
          <w:szCs w:val="32"/>
        </w:rPr>
        <w:t>s</w:t>
      </w:r>
      <w:r w:rsidRPr="00917EFA">
        <w:rPr>
          <w:rFonts w:ascii="Times New Roman" w:hAnsi="Times New Roman" w:cs="Times New Roman"/>
          <w:b/>
          <w:sz w:val="32"/>
          <w:szCs w:val="32"/>
        </w:rPr>
        <w:t xml:space="preserve">anction </w:t>
      </w:r>
      <w:r>
        <w:rPr>
          <w:rFonts w:ascii="Times New Roman" w:hAnsi="Times New Roman" w:cs="Times New Roman"/>
          <w:b/>
          <w:sz w:val="32"/>
          <w:szCs w:val="32"/>
        </w:rPr>
        <w:t>a</w:t>
      </w:r>
      <w:r w:rsidRPr="00917EFA">
        <w:rPr>
          <w:rFonts w:ascii="Times New Roman" w:hAnsi="Times New Roman" w:cs="Times New Roman"/>
          <w:b/>
          <w:sz w:val="32"/>
          <w:szCs w:val="32"/>
        </w:rPr>
        <w:t xml:space="preserve">t </w:t>
      </w:r>
      <w:r>
        <w:rPr>
          <w:rFonts w:ascii="Times New Roman" w:hAnsi="Times New Roman" w:cs="Times New Roman"/>
          <w:b/>
          <w:sz w:val="32"/>
          <w:szCs w:val="32"/>
        </w:rPr>
        <w:t>a</w:t>
      </w:r>
      <w:r w:rsidRPr="00917EFA">
        <w:rPr>
          <w:rFonts w:ascii="Times New Roman" w:hAnsi="Times New Roman" w:cs="Times New Roman"/>
          <w:b/>
          <w:sz w:val="32"/>
          <w:szCs w:val="32"/>
        </w:rPr>
        <w:t xml:space="preserve"> </w:t>
      </w:r>
      <w:r>
        <w:rPr>
          <w:rFonts w:ascii="Times New Roman" w:hAnsi="Times New Roman" w:cs="Times New Roman"/>
          <w:b/>
          <w:sz w:val="32"/>
          <w:szCs w:val="32"/>
        </w:rPr>
        <w:t>p</w:t>
      </w:r>
      <w:r w:rsidRPr="00917EFA">
        <w:rPr>
          <w:rFonts w:ascii="Times New Roman" w:hAnsi="Times New Roman" w:cs="Times New Roman"/>
          <w:b/>
          <w:sz w:val="32"/>
          <w:szCs w:val="32"/>
        </w:rPr>
        <w:t xml:space="preserve">oint </w:t>
      </w:r>
      <w:r>
        <w:rPr>
          <w:rFonts w:ascii="Times New Roman" w:hAnsi="Times New Roman" w:cs="Times New Roman"/>
          <w:b/>
          <w:sz w:val="32"/>
          <w:szCs w:val="32"/>
        </w:rPr>
        <w:t>i</w:t>
      </w:r>
      <w:r w:rsidRPr="00917EFA">
        <w:rPr>
          <w:rFonts w:ascii="Times New Roman" w:hAnsi="Times New Roman" w:cs="Times New Roman"/>
          <w:b/>
          <w:sz w:val="32"/>
          <w:szCs w:val="32"/>
        </w:rPr>
        <w:t xml:space="preserve">n </w:t>
      </w:r>
      <w:r>
        <w:rPr>
          <w:rFonts w:ascii="Times New Roman" w:hAnsi="Times New Roman" w:cs="Times New Roman"/>
          <w:b/>
          <w:sz w:val="32"/>
          <w:szCs w:val="32"/>
        </w:rPr>
        <w:t>t</w:t>
      </w:r>
      <w:r w:rsidRPr="00917EFA">
        <w:rPr>
          <w:rFonts w:ascii="Times New Roman" w:hAnsi="Times New Roman" w:cs="Times New Roman"/>
          <w:b/>
          <w:sz w:val="32"/>
          <w:szCs w:val="32"/>
        </w:rPr>
        <w:t>ime</w:t>
      </w:r>
    </w:p>
    <w:p w:rsidR="00533DE1" w:rsidRDefault="00533DE1" w:rsidP="005A40B3">
      <w:pPr>
        <w:rPr>
          <w:rFonts w:ascii="Times New Roman" w:hAnsi="Times New Roman" w:cs="Times New Roman"/>
          <w:sz w:val="24"/>
          <w:szCs w:val="24"/>
        </w:rPr>
      </w:pPr>
    </w:p>
    <w:p w:rsidR="00F66F62" w:rsidRDefault="006F63AB" w:rsidP="005A40B3">
      <w:pPr>
        <w:rPr>
          <w:rFonts w:ascii="Times New Roman" w:hAnsi="Times New Roman" w:cs="Times New Roman"/>
          <w:sz w:val="24"/>
          <w:szCs w:val="24"/>
        </w:rPr>
      </w:pPr>
      <w:r>
        <w:rPr>
          <w:rFonts w:ascii="Times New Roman" w:hAnsi="Times New Roman" w:cs="Times New Roman"/>
          <w:sz w:val="24"/>
          <w:szCs w:val="24"/>
        </w:rPr>
        <w:t xml:space="preserve">This is DWP’s preferred measure of the scale of sanctioning, first published in November 2017.  DWP’s preference appears to be because it produces a low absolute number. But it is subject to assumptions, and understates the potential impact of sanctions; for instance, a 4-week sanction which results in loss of a tenancy or breakdown of a marriage has an impact which lasts far beyond the period of the sanction itself. </w:t>
      </w:r>
      <w:r w:rsidR="00F66F62">
        <w:rPr>
          <w:rFonts w:ascii="Times New Roman" w:hAnsi="Times New Roman" w:cs="Times New Roman"/>
          <w:sz w:val="24"/>
          <w:szCs w:val="24"/>
        </w:rPr>
        <w:t xml:space="preserve">If the claimant takes a hardship payment, as around half of sanctioned claimants do, repaying it cuts their payments for a long period after the sanction supposedly ends, in effect acting as a further sanction. </w:t>
      </w:r>
    </w:p>
    <w:p w:rsidR="00F66F62" w:rsidRDefault="00F66F62" w:rsidP="005A40B3">
      <w:pPr>
        <w:rPr>
          <w:rFonts w:ascii="Times New Roman" w:hAnsi="Times New Roman" w:cs="Times New Roman"/>
          <w:sz w:val="24"/>
          <w:szCs w:val="24"/>
        </w:rPr>
      </w:pPr>
    </w:p>
    <w:p w:rsidR="006F63AB" w:rsidRDefault="00F66F62" w:rsidP="005A40B3">
      <w:pPr>
        <w:rPr>
          <w:rFonts w:ascii="Times New Roman" w:hAnsi="Times New Roman" w:cs="Times New Roman"/>
          <w:sz w:val="24"/>
          <w:szCs w:val="24"/>
        </w:rPr>
      </w:pPr>
      <w:r>
        <w:rPr>
          <w:rFonts w:ascii="Times New Roman" w:hAnsi="Times New Roman" w:cs="Times New Roman"/>
          <w:sz w:val="24"/>
          <w:szCs w:val="24"/>
        </w:rPr>
        <w:t>This measure</w:t>
      </w:r>
      <w:r w:rsidR="006F63AB">
        <w:rPr>
          <w:rFonts w:ascii="Times New Roman" w:hAnsi="Times New Roman" w:cs="Times New Roman"/>
          <w:sz w:val="24"/>
          <w:szCs w:val="24"/>
        </w:rPr>
        <w:t xml:space="preserve"> is </w:t>
      </w:r>
      <w:r w:rsidR="00A90282">
        <w:rPr>
          <w:rFonts w:ascii="Times New Roman" w:hAnsi="Times New Roman" w:cs="Times New Roman"/>
          <w:sz w:val="24"/>
          <w:szCs w:val="24"/>
        </w:rPr>
        <w:t>closely related</w:t>
      </w:r>
      <w:r w:rsidR="006F63AB">
        <w:rPr>
          <w:rFonts w:ascii="Times New Roman" w:hAnsi="Times New Roman" w:cs="Times New Roman"/>
          <w:sz w:val="24"/>
          <w:szCs w:val="24"/>
        </w:rPr>
        <w:t xml:space="preserve"> to duration, since</w:t>
      </w:r>
      <w:r w:rsidR="00A90282">
        <w:rPr>
          <w:rFonts w:ascii="Times New Roman" w:hAnsi="Times New Roman" w:cs="Times New Roman"/>
          <w:sz w:val="24"/>
          <w:szCs w:val="24"/>
        </w:rPr>
        <w:t xml:space="preserve"> once the number of sanctions imposed is </w:t>
      </w:r>
      <w:r w:rsidR="005F0F04">
        <w:rPr>
          <w:rFonts w:ascii="Times New Roman" w:hAnsi="Times New Roman" w:cs="Times New Roman"/>
          <w:sz w:val="24"/>
          <w:szCs w:val="24"/>
        </w:rPr>
        <w:t>known</w:t>
      </w:r>
      <w:r w:rsidR="00A90282">
        <w:rPr>
          <w:rFonts w:ascii="Times New Roman" w:hAnsi="Times New Roman" w:cs="Times New Roman"/>
          <w:sz w:val="24"/>
          <w:szCs w:val="24"/>
        </w:rPr>
        <w:t>, what then determines the number of claimants serving a sanction at each point in time is the duration of the sanctions</w:t>
      </w:r>
      <w:r w:rsidR="006F63AB">
        <w:rPr>
          <w:rFonts w:ascii="Times New Roman" w:hAnsi="Times New Roman" w:cs="Times New Roman"/>
          <w:sz w:val="24"/>
          <w:szCs w:val="24"/>
        </w:rPr>
        <w:t>. A</w:t>
      </w:r>
      <w:r w:rsidR="004E4C9B">
        <w:rPr>
          <w:rFonts w:ascii="Times New Roman" w:hAnsi="Times New Roman" w:cs="Times New Roman"/>
          <w:sz w:val="24"/>
          <w:szCs w:val="24"/>
        </w:rPr>
        <w:t>s from November 2020</w:t>
      </w:r>
      <w:r w:rsidR="00A90282">
        <w:rPr>
          <w:rFonts w:ascii="Times New Roman" w:hAnsi="Times New Roman" w:cs="Times New Roman"/>
          <w:sz w:val="24"/>
          <w:szCs w:val="24"/>
        </w:rPr>
        <w:t xml:space="preserve"> DWP withdrew </w:t>
      </w:r>
      <w:r w:rsidR="006F63AB">
        <w:rPr>
          <w:rFonts w:ascii="Times New Roman" w:hAnsi="Times New Roman" w:cs="Times New Roman"/>
          <w:sz w:val="24"/>
          <w:szCs w:val="24"/>
        </w:rPr>
        <w:t>this</w:t>
      </w:r>
      <w:r w:rsidR="00A90282">
        <w:rPr>
          <w:rFonts w:ascii="Times New Roman" w:hAnsi="Times New Roman" w:cs="Times New Roman"/>
          <w:sz w:val="24"/>
          <w:szCs w:val="24"/>
        </w:rPr>
        <w:t xml:space="preserve"> measure for all dates prior to April 2019. It has now reinstated </w:t>
      </w:r>
      <w:r w:rsidR="006F63AB">
        <w:rPr>
          <w:rFonts w:ascii="Times New Roman" w:hAnsi="Times New Roman" w:cs="Times New Roman"/>
          <w:sz w:val="24"/>
          <w:szCs w:val="24"/>
        </w:rPr>
        <w:t>it</w:t>
      </w:r>
      <w:r w:rsidR="00A90282">
        <w:rPr>
          <w:rFonts w:ascii="Times New Roman" w:hAnsi="Times New Roman" w:cs="Times New Roman"/>
          <w:sz w:val="24"/>
          <w:szCs w:val="24"/>
        </w:rPr>
        <w:t xml:space="preserve">, back to January 2017. However the methodology has been changed, as explained at </w:t>
      </w:r>
      <w:hyperlink r:id="rId19" w:history="1">
        <w:r w:rsidR="00804DCE" w:rsidRPr="00F14BB8">
          <w:rPr>
            <w:rStyle w:val="Hyperlink"/>
            <w:rFonts w:ascii="Times New Roman" w:hAnsi="Times New Roman" w:cs="Times New Roman"/>
            <w:sz w:val="24"/>
            <w:szCs w:val="24"/>
          </w:rPr>
          <w:t>https://www.gov.uk/government/publications/benefit-sanctions-durations-and-sanction-rate-calculation-explanation-of-methodology</w:t>
        </w:r>
      </w:hyperlink>
      <w:r w:rsidR="00767B5F">
        <w:rPr>
          <w:rFonts w:ascii="Times New Roman" w:hAnsi="Times New Roman" w:cs="Times New Roman"/>
          <w:sz w:val="24"/>
          <w:szCs w:val="24"/>
        </w:rPr>
        <w:t xml:space="preserve">  </w:t>
      </w:r>
    </w:p>
    <w:p w:rsidR="006F63AB" w:rsidRDefault="006F63AB" w:rsidP="005A40B3">
      <w:pPr>
        <w:rPr>
          <w:rFonts w:ascii="Times New Roman" w:hAnsi="Times New Roman" w:cs="Times New Roman"/>
          <w:sz w:val="24"/>
          <w:szCs w:val="24"/>
        </w:rPr>
      </w:pPr>
    </w:p>
    <w:p w:rsidR="00260911" w:rsidRPr="00260911" w:rsidRDefault="00260911" w:rsidP="005A40B3">
      <w:pPr>
        <w:rPr>
          <w:rFonts w:ascii="Times New Roman" w:hAnsi="Times New Roman" w:cs="Times New Roman"/>
          <w:b/>
          <w:i/>
          <w:sz w:val="24"/>
          <w:szCs w:val="24"/>
        </w:rPr>
      </w:pPr>
      <w:r w:rsidRPr="00260911">
        <w:rPr>
          <w:rFonts w:ascii="Times New Roman" w:hAnsi="Times New Roman" w:cs="Times New Roman"/>
          <w:b/>
          <w:i/>
          <w:sz w:val="24"/>
          <w:szCs w:val="24"/>
        </w:rPr>
        <w:t>Impact of the new methodology</w:t>
      </w:r>
    </w:p>
    <w:p w:rsidR="00260911" w:rsidRDefault="00260911" w:rsidP="005A40B3">
      <w:pPr>
        <w:rPr>
          <w:rFonts w:ascii="Times New Roman" w:hAnsi="Times New Roman" w:cs="Times New Roman"/>
          <w:b/>
          <w:sz w:val="24"/>
          <w:szCs w:val="24"/>
        </w:rPr>
      </w:pPr>
    </w:p>
    <w:p w:rsidR="00A90282" w:rsidRDefault="00767B5F" w:rsidP="005A40B3">
      <w:pPr>
        <w:rPr>
          <w:rFonts w:ascii="Times New Roman" w:hAnsi="Times New Roman" w:cs="Times New Roman"/>
          <w:sz w:val="24"/>
          <w:szCs w:val="24"/>
        </w:rPr>
      </w:pPr>
      <w:proofErr w:type="gramStart"/>
      <w:r w:rsidRPr="00F66F62">
        <w:rPr>
          <w:rFonts w:ascii="Times New Roman" w:hAnsi="Times New Roman" w:cs="Times New Roman"/>
          <w:b/>
          <w:sz w:val="24"/>
          <w:szCs w:val="24"/>
        </w:rPr>
        <w:t>Figure</w:t>
      </w:r>
      <w:r w:rsidR="00F66F62" w:rsidRPr="00F66F62">
        <w:rPr>
          <w:rFonts w:ascii="Times New Roman" w:hAnsi="Times New Roman" w:cs="Times New Roman"/>
          <w:b/>
          <w:sz w:val="24"/>
          <w:szCs w:val="24"/>
        </w:rPr>
        <w:t>s</w:t>
      </w:r>
      <w:r w:rsidRPr="00F66F62">
        <w:rPr>
          <w:rFonts w:ascii="Times New Roman" w:hAnsi="Times New Roman" w:cs="Times New Roman"/>
          <w:b/>
          <w:sz w:val="24"/>
          <w:szCs w:val="24"/>
        </w:rPr>
        <w:t xml:space="preserve"> </w:t>
      </w:r>
      <w:r w:rsidR="005D3E36" w:rsidRPr="00F66F62">
        <w:rPr>
          <w:rFonts w:ascii="Times New Roman" w:hAnsi="Times New Roman" w:cs="Times New Roman"/>
          <w:b/>
          <w:sz w:val="24"/>
          <w:szCs w:val="24"/>
        </w:rPr>
        <w:t>12</w:t>
      </w:r>
      <w:r w:rsidRPr="00F66F62">
        <w:rPr>
          <w:rFonts w:ascii="Times New Roman" w:hAnsi="Times New Roman" w:cs="Times New Roman"/>
          <w:b/>
          <w:sz w:val="24"/>
          <w:szCs w:val="24"/>
        </w:rPr>
        <w:t xml:space="preserve"> </w:t>
      </w:r>
      <w:r w:rsidR="00F66F62" w:rsidRPr="00F66F62">
        <w:rPr>
          <w:rFonts w:ascii="Times New Roman" w:hAnsi="Times New Roman" w:cs="Times New Roman"/>
          <w:b/>
          <w:sz w:val="24"/>
          <w:szCs w:val="24"/>
        </w:rPr>
        <w:t>and 13</w:t>
      </w:r>
      <w:r w:rsidR="00F66F62">
        <w:rPr>
          <w:rFonts w:ascii="Times New Roman" w:hAnsi="Times New Roman" w:cs="Times New Roman"/>
          <w:sz w:val="24"/>
          <w:szCs w:val="24"/>
        </w:rPr>
        <w:t xml:space="preserve"> </w:t>
      </w:r>
      <w:r>
        <w:rPr>
          <w:rFonts w:ascii="Times New Roman" w:hAnsi="Times New Roman" w:cs="Times New Roman"/>
          <w:sz w:val="24"/>
          <w:szCs w:val="24"/>
        </w:rPr>
        <w:t>show the impact of the new methodology.</w:t>
      </w:r>
      <w:proofErr w:type="gramEnd"/>
      <w:r>
        <w:rPr>
          <w:rFonts w:ascii="Times New Roman" w:hAnsi="Times New Roman" w:cs="Times New Roman"/>
          <w:sz w:val="24"/>
          <w:szCs w:val="24"/>
        </w:rPr>
        <w:t xml:space="preserve"> </w:t>
      </w:r>
      <w:r w:rsidR="00F66F62">
        <w:rPr>
          <w:rFonts w:ascii="Times New Roman" w:hAnsi="Times New Roman" w:cs="Times New Roman"/>
          <w:sz w:val="24"/>
          <w:szCs w:val="24"/>
        </w:rPr>
        <w:t xml:space="preserve">The DWP’s previous figures have been understating the number and percentage of claimants serving a sanction. </w:t>
      </w:r>
      <w:r w:rsidR="005D3E36">
        <w:rPr>
          <w:rFonts w:ascii="Times New Roman" w:hAnsi="Times New Roman" w:cs="Times New Roman"/>
          <w:sz w:val="24"/>
          <w:szCs w:val="24"/>
        </w:rPr>
        <w:t xml:space="preserve">Across most of the series, </w:t>
      </w:r>
      <w:r w:rsidR="00260911">
        <w:rPr>
          <w:rFonts w:ascii="Times New Roman" w:hAnsi="Times New Roman" w:cs="Times New Roman"/>
          <w:sz w:val="24"/>
          <w:szCs w:val="24"/>
        </w:rPr>
        <w:t>the new methodology</w:t>
      </w:r>
      <w:r>
        <w:rPr>
          <w:rFonts w:ascii="Times New Roman" w:hAnsi="Times New Roman" w:cs="Times New Roman"/>
          <w:sz w:val="24"/>
          <w:szCs w:val="24"/>
        </w:rPr>
        <w:t xml:space="preserve"> increases the number of those serving a sanction</w:t>
      </w:r>
      <w:r w:rsidR="00B74865">
        <w:rPr>
          <w:rFonts w:ascii="Times New Roman" w:hAnsi="Times New Roman" w:cs="Times New Roman"/>
          <w:sz w:val="24"/>
          <w:szCs w:val="24"/>
        </w:rPr>
        <w:t xml:space="preserve">, typically by around 10%. </w:t>
      </w:r>
      <w:r w:rsidR="00B9539D">
        <w:rPr>
          <w:rFonts w:ascii="Times New Roman" w:hAnsi="Times New Roman" w:cs="Times New Roman"/>
          <w:sz w:val="24"/>
          <w:szCs w:val="24"/>
        </w:rPr>
        <w:t>The biggest difference is for November 2021, when the old figure for the percentage under sanction was 1.16 percentage points below the new one. But at the opposite extreme, in April 2020 the old figure was 0.49 percentage points above the new one.</w:t>
      </w:r>
    </w:p>
    <w:p w:rsidR="00804DCE" w:rsidRDefault="00804DCE" w:rsidP="005A40B3">
      <w:pPr>
        <w:rPr>
          <w:rFonts w:ascii="Times New Roman" w:hAnsi="Times New Roman" w:cs="Times New Roman"/>
          <w:sz w:val="24"/>
          <w:szCs w:val="24"/>
        </w:rPr>
      </w:pPr>
    </w:p>
    <w:p w:rsidR="00D72EC7" w:rsidRPr="00260911" w:rsidRDefault="00D72EC7" w:rsidP="00D72EC7">
      <w:pPr>
        <w:rPr>
          <w:rFonts w:ascii="Times New Roman" w:hAnsi="Times New Roman" w:cs="Times New Roman"/>
          <w:b/>
          <w:i/>
          <w:sz w:val="24"/>
          <w:szCs w:val="24"/>
        </w:rPr>
      </w:pPr>
      <w:r w:rsidRPr="00260911">
        <w:rPr>
          <w:rFonts w:ascii="Times New Roman" w:hAnsi="Times New Roman" w:cs="Times New Roman"/>
          <w:b/>
          <w:i/>
          <w:sz w:val="24"/>
          <w:szCs w:val="24"/>
        </w:rPr>
        <w:t>Number of UC claimants serving a sanction at a point in time</w:t>
      </w:r>
    </w:p>
    <w:p w:rsidR="00804DCE" w:rsidRDefault="00804DCE" w:rsidP="005A40B3">
      <w:pPr>
        <w:rPr>
          <w:rFonts w:ascii="Times New Roman" w:hAnsi="Times New Roman" w:cs="Times New Roman"/>
          <w:sz w:val="24"/>
          <w:szCs w:val="24"/>
        </w:rPr>
      </w:pPr>
    </w:p>
    <w:p w:rsidR="00943D21" w:rsidRPr="00917EFA" w:rsidRDefault="00B9539D" w:rsidP="00943D21">
      <w:pPr>
        <w:rPr>
          <w:rFonts w:ascii="Times New Roman" w:hAnsi="Times New Roman" w:cs="Times New Roman"/>
          <w:sz w:val="24"/>
          <w:szCs w:val="24"/>
        </w:rPr>
      </w:pPr>
      <w:r>
        <w:rPr>
          <w:rFonts w:ascii="Times New Roman" w:hAnsi="Times New Roman" w:cs="Times New Roman"/>
          <w:sz w:val="24"/>
          <w:szCs w:val="24"/>
        </w:rPr>
        <w:t>On the basis of the revised figures, t</w:t>
      </w:r>
      <w:r w:rsidR="00702D94" w:rsidRPr="00917EFA">
        <w:rPr>
          <w:rFonts w:ascii="Times New Roman" w:hAnsi="Times New Roman" w:cs="Times New Roman"/>
          <w:sz w:val="24"/>
          <w:szCs w:val="24"/>
        </w:rPr>
        <w:t xml:space="preserve">he number of UC claimants who were serving a sanction at a point in time </w:t>
      </w:r>
      <w:r w:rsidR="00932B71">
        <w:rPr>
          <w:rFonts w:ascii="Times New Roman" w:hAnsi="Times New Roman" w:cs="Times New Roman"/>
          <w:sz w:val="24"/>
          <w:szCs w:val="24"/>
        </w:rPr>
        <w:t xml:space="preserve">has seen a sharp increase in the latest quarter, to an </w:t>
      </w:r>
      <w:r w:rsidR="004F5FB2" w:rsidRPr="00917EFA">
        <w:rPr>
          <w:rFonts w:ascii="Times New Roman" w:hAnsi="Times New Roman" w:cs="Times New Roman"/>
          <w:sz w:val="24"/>
          <w:szCs w:val="24"/>
        </w:rPr>
        <w:t>average</w:t>
      </w:r>
      <w:r w:rsidR="00932B71">
        <w:rPr>
          <w:rFonts w:ascii="Times New Roman" w:hAnsi="Times New Roman" w:cs="Times New Roman"/>
          <w:sz w:val="24"/>
          <w:szCs w:val="24"/>
        </w:rPr>
        <w:t xml:space="preserve"> of</w:t>
      </w:r>
      <w:r w:rsidR="004F5FB2" w:rsidRPr="00917EFA">
        <w:rPr>
          <w:rFonts w:ascii="Times New Roman" w:hAnsi="Times New Roman" w:cs="Times New Roman"/>
          <w:sz w:val="24"/>
          <w:szCs w:val="24"/>
        </w:rPr>
        <w:t xml:space="preserve"> </w:t>
      </w:r>
      <w:r w:rsidR="00932B71">
        <w:rPr>
          <w:rFonts w:ascii="Times New Roman" w:hAnsi="Times New Roman" w:cs="Times New Roman"/>
          <w:sz w:val="24"/>
          <w:szCs w:val="24"/>
        </w:rPr>
        <w:t>136,075</w:t>
      </w:r>
      <w:r w:rsidR="00260911">
        <w:rPr>
          <w:rFonts w:ascii="Times New Roman" w:hAnsi="Times New Roman" w:cs="Times New Roman"/>
          <w:sz w:val="24"/>
          <w:szCs w:val="24"/>
        </w:rPr>
        <w:t>, after sitting fairly steadily at between 120,000 and 130,000</w:t>
      </w:r>
      <w:r w:rsidR="00932B71">
        <w:rPr>
          <w:rFonts w:ascii="Times New Roman" w:hAnsi="Times New Roman" w:cs="Times New Roman"/>
          <w:sz w:val="24"/>
          <w:szCs w:val="24"/>
        </w:rPr>
        <w:t xml:space="preserve"> </w:t>
      </w:r>
      <w:r w:rsidR="005E2026">
        <w:rPr>
          <w:rFonts w:ascii="Times New Roman" w:hAnsi="Times New Roman" w:cs="Times New Roman"/>
          <w:sz w:val="24"/>
          <w:szCs w:val="24"/>
        </w:rPr>
        <w:t xml:space="preserve">for </w:t>
      </w:r>
      <w:r w:rsidR="00CB39FB">
        <w:rPr>
          <w:rFonts w:ascii="Times New Roman" w:hAnsi="Times New Roman" w:cs="Times New Roman"/>
          <w:sz w:val="24"/>
          <w:szCs w:val="24"/>
        </w:rPr>
        <w:t>well over a</w:t>
      </w:r>
      <w:r w:rsidR="005E2026">
        <w:rPr>
          <w:rFonts w:ascii="Times New Roman" w:hAnsi="Times New Roman" w:cs="Times New Roman"/>
          <w:sz w:val="24"/>
          <w:szCs w:val="24"/>
        </w:rPr>
        <w:t xml:space="preserve"> year </w:t>
      </w:r>
      <w:r w:rsidR="009A3E9C" w:rsidRPr="00917EFA">
        <w:rPr>
          <w:rFonts w:ascii="Times New Roman" w:hAnsi="Times New Roman" w:cs="Times New Roman"/>
          <w:sz w:val="24"/>
          <w:szCs w:val="24"/>
        </w:rPr>
        <w:t>(</w:t>
      </w:r>
      <w:r w:rsidR="009A3E9C" w:rsidRPr="00917EFA">
        <w:rPr>
          <w:rFonts w:ascii="Times New Roman" w:hAnsi="Times New Roman" w:cs="Times New Roman"/>
          <w:b/>
          <w:sz w:val="24"/>
          <w:szCs w:val="24"/>
        </w:rPr>
        <w:t xml:space="preserve">Figure </w:t>
      </w:r>
      <w:r w:rsidR="00B74865">
        <w:rPr>
          <w:rFonts w:ascii="Times New Roman" w:hAnsi="Times New Roman" w:cs="Times New Roman"/>
          <w:b/>
          <w:sz w:val="24"/>
          <w:szCs w:val="24"/>
        </w:rPr>
        <w:t>12</w:t>
      </w:r>
      <w:r w:rsidR="009A3E9C" w:rsidRPr="00917EFA">
        <w:rPr>
          <w:rFonts w:ascii="Times New Roman" w:hAnsi="Times New Roman" w:cs="Times New Roman"/>
          <w:sz w:val="24"/>
          <w:szCs w:val="24"/>
        </w:rPr>
        <w:t>)</w:t>
      </w:r>
      <w:r w:rsidR="00943D21" w:rsidRPr="00917EFA">
        <w:rPr>
          <w:rFonts w:ascii="Times New Roman" w:hAnsi="Times New Roman" w:cs="Times New Roman"/>
          <w:sz w:val="24"/>
          <w:szCs w:val="24"/>
        </w:rPr>
        <w:t xml:space="preserve">. This is </w:t>
      </w:r>
      <w:r w:rsidR="00E75728" w:rsidRPr="00917EFA">
        <w:rPr>
          <w:rFonts w:ascii="Times New Roman" w:hAnsi="Times New Roman" w:cs="Times New Roman"/>
          <w:sz w:val="24"/>
          <w:szCs w:val="24"/>
        </w:rPr>
        <w:t>much</w:t>
      </w:r>
      <w:r w:rsidR="00943D21" w:rsidRPr="00917EFA">
        <w:rPr>
          <w:rFonts w:ascii="Times New Roman" w:hAnsi="Times New Roman" w:cs="Times New Roman"/>
          <w:sz w:val="24"/>
          <w:szCs w:val="24"/>
        </w:rPr>
        <w:t xml:space="preserve"> </w:t>
      </w:r>
      <w:r w:rsidR="009F04BB" w:rsidRPr="00917EFA">
        <w:rPr>
          <w:rFonts w:ascii="Times New Roman" w:hAnsi="Times New Roman" w:cs="Times New Roman"/>
          <w:sz w:val="24"/>
          <w:szCs w:val="24"/>
        </w:rPr>
        <w:t xml:space="preserve">higher than </w:t>
      </w:r>
      <w:r w:rsidR="00260911">
        <w:rPr>
          <w:rFonts w:ascii="Times New Roman" w:hAnsi="Times New Roman" w:cs="Times New Roman"/>
          <w:sz w:val="24"/>
          <w:szCs w:val="24"/>
        </w:rPr>
        <w:t xml:space="preserve">in the final quarter </w:t>
      </w:r>
      <w:r w:rsidR="009F04BB" w:rsidRPr="00917EFA">
        <w:rPr>
          <w:rFonts w:ascii="Times New Roman" w:hAnsi="Times New Roman" w:cs="Times New Roman"/>
          <w:sz w:val="24"/>
          <w:szCs w:val="24"/>
        </w:rPr>
        <w:t>before the pandemic</w:t>
      </w:r>
      <w:r w:rsidR="00943D21" w:rsidRPr="00917EFA">
        <w:rPr>
          <w:rFonts w:ascii="Times New Roman" w:hAnsi="Times New Roman" w:cs="Times New Roman"/>
          <w:sz w:val="24"/>
          <w:szCs w:val="24"/>
        </w:rPr>
        <w:t xml:space="preserve">, </w:t>
      </w:r>
      <w:r w:rsidR="00E75728" w:rsidRPr="00917EFA">
        <w:rPr>
          <w:rFonts w:ascii="Times New Roman" w:hAnsi="Times New Roman" w:cs="Times New Roman"/>
          <w:sz w:val="24"/>
          <w:szCs w:val="24"/>
        </w:rPr>
        <w:t xml:space="preserve">when </w:t>
      </w:r>
      <w:r>
        <w:rPr>
          <w:rFonts w:ascii="Times New Roman" w:hAnsi="Times New Roman" w:cs="Times New Roman"/>
          <w:sz w:val="24"/>
          <w:szCs w:val="24"/>
        </w:rPr>
        <w:t xml:space="preserve">(again on the new basis) </w:t>
      </w:r>
      <w:r w:rsidR="00E75728" w:rsidRPr="00917EFA">
        <w:rPr>
          <w:rFonts w:ascii="Times New Roman" w:hAnsi="Times New Roman" w:cs="Times New Roman"/>
          <w:sz w:val="24"/>
          <w:szCs w:val="24"/>
        </w:rPr>
        <w:t>it was around 35,</w:t>
      </w:r>
      <w:r w:rsidR="00260911">
        <w:rPr>
          <w:rFonts w:ascii="Times New Roman" w:hAnsi="Times New Roman" w:cs="Times New Roman"/>
          <w:sz w:val="24"/>
          <w:szCs w:val="24"/>
        </w:rPr>
        <w:t>1</w:t>
      </w:r>
      <w:r w:rsidR="00E75728" w:rsidRPr="00917EFA">
        <w:rPr>
          <w:rFonts w:ascii="Times New Roman" w:hAnsi="Times New Roman" w:cs="Times New Roman"/>
          <w:sz w:val="24"/>
          <w:szCs w:val="24"/>
        </w:rPr>
        <w:t xml:space="preserve">00. </w:t>
      </w:r>
    </w:p>
    <w:p w:rsidR="00561086" w:rsidRPr="00917EFA" w:rsidRDefault="00561086" w:rsidP="00943D21">
      <w:pPr>
        <w:rPr>
          <w:rFonts w:ascii="Times New Roman" w:hAnsi="Times New Roman" w:cs="Times New Roman"/>
          <w:b/>
          <w:i/>
          <w:sz w:val="24"/>
          <w:szCs w:val="24"/>
        </w:rPr>
      </w:pPr>
    </w:p>
    <w:p w:rsidR="0028637E" w:rsidRPr="00917EFA" w:rsidRDefault="0028637E" w:rsidP="00943D21">
      <w:pPr>
        <w:rPr>
          <w:rFonts w:ascii="Times New Roman" w:hAnsi="Times New Roman" w:cs="Times New Roman"/>
          <w:b/>
          <w:i/>
          <w:sz w:val="24"/>
          <w:szCs w:val="24"/>
        </w:rPr>
      </w:pPr>
      <w:r w:rsidRPr="00917EFA">
        <w:rPr>
          <w:rFonts w:ascii="Times New Roman" w:hAnsi="Times New Roman" w:cs="Times New Roman"/>
          <w:b/>
          <w:i/>
          <w:sz w:val="24"/>
          <w:szCs w:val="24"/>
        </w:rPr>
        <w:t>Percentage of UC claimants subject to conditionality who were serving a sanction at a point in time</w:t>
      </w:r>
    </w:p>
    <w:p w:rsidR="001C7809" w:rsidRPr="00917EFA" w:rsidRDefault="001C7809" w:rsidP="005A40B3">
      <w:pPr>
        <w:rPr>
          <w:rFonts w:ascii="Times New Roman" w:hAnsi="Times New Roman" w:cs="Times New Roman"/>
          <w:sz w:val="24"/>
          <w:szCs w:val="24"/>
        </w:rPr>
      </w:pPr>
    </w:p>
    <w:p w:rsidR="00533DE1" w:rsidRPr="00917EFA" w:rsidRDefault="009F2465" w:rsidP="005A40B3">
      <w:pPr>
        <w:rPr>
          <w:rFonts w:ascii="Times New Roman" w:hAnsi="Times New Roman" w:cs="Times New Roman"/>
          <w:sz w:val="24"/>
          <w:szCs w:val="24"/>
        </w:rPr>
      </w:pPr>
      <w:r w:rsidRPr="00917EFA">
        <w:rPr>
          <w:rFonts w:ascii="Times New Roman" w:hAnsi="Times New Roman" w:cs="Times New Roman"/>
          <w:b/>
          <w:sz w:val="24"/>
          <w:szCs w:val="24"/>
        </w:rPr>
        <w:t xml:space="preserve">Figure </w:t>
      </w:r>
      <w:r w:rsidR="00127168">
        <w:rPr>
          <w:rFonts w:ascii="Times New Roman" w:hAnsi="Times New Roman" w:cs="Times New Roman"/>
          <w:b/>
          <w:sz w:val="24"/>
          <w:szCs w:val="24"/>
        </w:rPr>
        <w:t>13</w:t>
      </w:r>
      <w:r w:rsidRPr="00917EFA">
        <w:rPr>
          <w:rFonts w:ascii="Times New Roman" w:hAnsi="Times New Roman" w:cs="Times New Roman"/>
          <w:sz w:val="24"/>
          <w:szCs w:val="24"/>
        </w:rPr>
        <w:t xml:space="preserve"> shows the same data as a percentage of UC claimants subject to conditionality. </w:t>
      </w:r>
      <w:r w:rsidR="005E2026">
        <w:rPr>
          <w:rFonts w:ascii="Times New Roman" w:hAnsi="Times New Roman" w:cs="Times New Roman"/>
          <w:sz w:val="24"/>
          <w:szCs w:val="24"/>
        </w:rPr>
        <w:t xml:space="preserve">In the latest quarter this was </w:t>
      </w:r>
      <w:r w:rsidR="00CB39FB">
        <w:rPr>
          <w:rFonts w:ascii="Times New Roman" w:hAnsi="Times New Roman" w:cs="Times New Roman"/>
          <w:sz w:val="24"/>
          <w:szCs w:val="24"/>
        </w:rPr>
        <w:t xml:space="preserve">7.25%, a slight increase on recent </w:t>
      </w:r>
      <w:r w:rsidR="005E2026">
        <w:rPr>
          <w:rFonts w:ascii="Times New Roman" w:hAnsi="Times New Roman" w:cs="Times New Roman"/>
          <w:sz w:val="24"/>
          <w:szCs w:val="24"/>
        </w:rPr>
        <w:t>level</w:t>
      </w:r>
      <w:r w:rsidR="00CB39FB">
        <w:rPr>
          <w:rFonts w:ascii="Times New Roman" w:hAnsi="Times New Roman" w:cs="Times New Roman"/>
          <w:sz w:val="24"/>
          <w:szCs w:val="24"/>
        </w:rPr>
        <w:t>s</w:t>
      </w:r>
      <w:r w:rsidR="005E2026">
        <w:rPr>
          <w:rFonts w:ascii="Times New Roman" w:hAnsi="Times New Roman" w:cs="Times New Roman"/>
          <w:sz w:val="24"/>
          <w:szCs w:val="24"/>
        </w:rPr>
        <w:t>. It</w:t>
      </w:r>
      <w:r w:rsidR="00F612E9" w:rsidRPr="00917EFA">
        <w:rPr>
          <w:rFonts w:ascii="Times New Roman" w:hAnsi="Times New Roman" w:cs="Times New Roman"/>
          <w:sz w:val="24"/>
          <w:szCs w:val="24"/>
        </w:rPr>
        <w:t xml:space="preserve"> </w:t>
      </w:r>
      <w:r w:rsidR="005E2026" w:rsidRPr="00917EFA">
        <w:rPr>
          <w:rFonts w:ascii="Times New Roman" w:hAnsi="Times New Roman" w:cs="Times New Roman"/>
          <w:sz w:val="24"/>
          <w:szCs w:val="24"/>
        </w:rPr>
        <w:t>equates to one in 1</w:t>
      </w:r>
      <w:r w:rsidR="005E2026">
        <w:rPr>
          <w:rFonts w:ascii="Times New Roman" w:hAnsi="Times New Roman" w:cs="Times New Roman"/>
          <w:sz w:val="24"/>
          <w:szCs w:val="24"/>
        </w:rPr>
        <w:t>4</w:t>
      </w:r>
      <w:r w:rsidR="005E2026" w:rsidRPr="00917EFA">
        <w:rPr>
          <w:rFonts w:ascii="Times New Roman" w:hAnsi="Times New Roman" w:cs="Times New Roman"/>
          <w:sz w:val="24"/>
          <w:szCs w:val="24"/>
        </w:rPr>
        <w:t xml:space="preserve"> of UC claimants subject to conditionality </w:t>
      </w:r>
      <w:r w:rsidR="005E2026">
        <w:rPr>
          <w:rFonts w:ascii="Times New Roman" w:hAnsi="Times New Roman" w:cs="Times New Roman"/>
          <w:sz w:val="24"/>
          <w:szCs w:val="24"/>
        </w:rPr>
        <w:t>and is well over</w:t>
      </w:r>
      <w:r w:rsidR="00F612E9" w:rsidRPr="00917EFA">
        <w:rPr>
          <w:rFonts w:ascii="Times New Roman" w:hAnsi="Times New Roman" w:cs="Times New Roman"/>
          <w:sz w:val="24"/>
          <w:szCs w:val="24"/>
        </w:rPr>
        <w:t xml:space="preserve"> double</w:t>
      </w:r>
      <w:r w:rsidR="0028637E" w:rsidRPr="00917EFA">
        <w:rPr>
          <w:rFonts w:ascii="Times New Roman" w:hAnsi="Times New Roman" w:cs="Times New Roman"/>
          <w:sz w:val="24"/>
          <w:szCs w:val="24"/>
        </w:rPr>
        <w:t xml:space="preserve"> the </w:t>
      </w:r>
      <w:r w:rsidR="005E2026">
        <w:rPr>
          <w:rFonts w:ascii="Times New Roman" w:hAnsi="Times New Roman" w:cs="Times New Roman"/>
          <w:sz w:val="24"/>
          <w:szCs w:val="24"/>
        </w:rPr>
        <w:t xml:space="preserve">immediate </w:t>
      </w:r>
      <w:r w:rsidR="0028637E" w:rsidRPr="00917EFA">
        <w:rPr>
          <w:rFonts w:ascii="Times New Roman" w:hAnsi="Times New Roman" w:cs="Times New Roman"/>
          <w:sz w:val="24"/>
          <w:szCs w:val="24"/>
        </w:rPr>
        <w:t xml:space="preserve">pre-pandemic </w:t>
      </w:r>
      <w:r w:rsidR="005E2026">
        <w:rPr>
          <w:rFonts w:ascii="Times New Roman" w:hAnsi="Times New Roman" w:cs="Times New Roman"/>
          <w:sz w:val="24"/>
          <w:szCs w:val="24"/>
        </w:rPr>
        <w:t>level</w:t>
      </w:r>
      <w:r w:rsidR="00F612E9" w:rsidRPr="00917EFA">
        <w:rPr>
          <w:rFonts w:ascii="Times New Roman" w:hAnsi="Times New Roman" w:cs="Times New Roman"/>
          <w:sz w:val="24"/>
          <w:szCs w:val="24"/>
        </w:rPr>
        <w:t xml:space="preserve"> of </w:t>
      </w:r>
      <w:r w:rsidR="005E2026">
        <w:rPr>
          <w:rFonts w:ascii="Times New Roman" w:hAnsi="Times New Roman" w:cs="Times New Roman"/>
          <w:sz w:val="24"/>
          <w:szCs w:val="24"/>
        </w:rPr>
        <w:t xml:space="preserve">around </w:t>
      </w:r>
      <w:r w:rsidR="0028637E" w:rsidRPr="00917EFA">
        <w:rPr>
          <w:rFonts w:ascii="Times New Roman" w:hAnsi="Times New Roman" w:cs="Times New Roman"/>
          <w:sz w:val="24"/>
          <w:szCs w:val="24"/>
        </w:rPr>
        <w:t>3.</w:t>
      </w:r>
      <w:r w:rsidR="005E2026">
        <w:rPr>
          <w:rFonts w:ascii="Times New Roman" w:hAnsi="Times New Roman" w:cs="Times New Roman"/>
          <w:sz w:val="24"/>
          <w:szCs w:val="24"/>
        </w:rPr>
        <w:t>0</w:t>
      </w:r>
      <w:r w:rsidR="0028637E" w:rsidRPr="00917EFA">
        <w:rPr>
          <w:rFonts w:ascii="Times New Roman" w:hAnsi="Times New Roman" w:cs="Times New Roman"/>
          <w:sz w:val="24"/>
          <w:szCs w:val="24"/>
        </w:rPr>
        <w:t>%</w:t>
      </w:r>
      <w:r w:rsidR="005E2026">
        <w:rPr>
          <w:rFonts w:ascii="Times New Roman" w:hAnsi="Times New Roman" w:cs="Times New Roman"/>
          <w:sz w:val="24"/>
          <w:szCs w:val="24"/>
        </w:rPr>
        <w:t xml:space="preserve">. </w:t>
      </w:r>
      <w:r w:rsidR="007527F9">
        <w:rPr>
          <w:rFonts w:ascii="Times New Roman" w:hAnsi="Times New Roman" w:cs="Times New Roman"/>
          <w:sz w:val="24"/>
          <w:szCs w:val="24"/>
        </w:rPr>
        <w:t>M</w:t>
      </w:r>
      <w:r w:rsidR="005E2026">
        <w:rPr>
          <w:rFonts w:ascii="Times New Roman" w:hAnsi="Times New Roman" w:cs="Times New Roman"/>
          <w:sz w:val="24"/>
          <w:szCs w:val="24"/>
        </w:rPr>
        <w:t>uch higher percentages were seen for earlier months, going back to January 2017</w:t>
      </w:r>
      <w:r w:rsidR="00063F8F">
        <w:rPr>
          <w:rFonts w:ascii="Times New Roman" w:hAnsi="Times New Roman" w:cs="Times New Roman"/>
          <w:sz w:val="24"/>
          <w:szCs w:val="24"/>
        </w:rPr>
        <w:t xml:space="preserve">. </w:t>
      </w:r>
      <w:r w:rsidR="007527F9">
        <w:rPr>
          <w:rFonts w:ascii="Times New Roman" w:hAnsi="Times New Roman" w:cs="Times New Roman"/>
          <w:sz w:val="24"/>
          <w:szCs w:val="24"/>
        </w:rPr>
        <w:t xml:space="preserve"> As explained in relation to </w:t>
      </w:r>
      <w:r w:rsidR="007527F9" w:rsidRPr="007527F9">
        <w:rPr>
          <w:rFonts w:ascii="Times New Roman" w:hAnsi="Times New Roman" w:cs="Times New Roman"/>
          <w:b/>
          <w:sz w:val="24"/>
          <w:szCs w:val="24"/>
        </w:rPr>
        <w:t>Figure 2</w:t>
      </w:r>
      <w:r w:rsidR="007527F9">
        <w:rPr>
          <w:rFonts w:ascii="Times New Roman" w:hAnsi="Times New Roman" w:cs="Times New Roman"/>
          <w:sz w:val="24"/>
          <w:szCs w:val="24"/>
        </w:rPr>
        <w:t xml:space="preserve"> above, t</w:t>
      </w:r>
      <w:r w:rsidR="005E2026">
        <w:rPr>
          <w:rFonts w:ascii="Times New Roman" w:hAnsi="Times New Roman" w:cs="Times New Roman"/>
          <w:sz w:val="24"/>
          <w:szCs w:val="24"/>
        </w:rPr>
        <w:t>his is because when UC was first introduced it was available only to single people without dependants</w:t>
      </w:r>
      <w:r w:rsidR="007527F9">
        <w:rPr>
          <w:rFonts w:ascii="Times New Roman" w:hAnsi="Times New Roman" w:cs="Times New Roman"/>
          <w:sz w:val="24"/>
          <w:szCs w:val="24"/>
        </w:rPr>
        <w:t>, who</w:t>
      </w:r>
      <w:r w:rsidR="00063F8F">
        <w:rPr>
          <w:rFonts w:ascii="Times New Roman" w:hAnsi="Times New Roman" w:cs="Times New Roman"/>
          <w:sz w:val="24"/>
          <w:szCs w:val="24"/>
        </w:rPr>
        <w:t xml:space="preserve"> tend to be young</w:t>
      </w:r>
      <w:r w:rsidR="007527F9">
        <w:rPr>
          <w:rFonts w:ascii="Times New Roman" w:hAnsi="Times New Roman" w:cs="Times New Roman"/>
          <w:sz w:val="24"/>
          <w:szCs w:val="24"/>
        </w:rPr>
        <w:t>,</w:t>
      </w:r>
      <w:r w:rsidR="00063F8F">
        <w:rPr>
          <w:rFonts w:ascii="Times New Roman" w:hAnsi="Times New Roman" w:cs="Times New Roman"/>
          <w:sz w:val="24"/>
          <w:szCs w:val="24"/>
        </w:rPr>
        <w:t xml:space="preserve"> and young people have much the highest rates of sanction.</w:t>
      </w:r>
    </w:p>
    <w:p w:rsidR="006F50C8" w:rsidRPr="00917EFA" w:rsidRDefault="006F50C8" w:rsidP="005A40B3">
      <w:pPr>
        <w:rPr>
          <w:rFonts w:ascii="Times New Roman" w:hAnsi="Times New Roman" w:cs="Times New Roman"/>
          <w:sz w:val="24"/>
          <w:szCs w:val="24"/>
        </w:rPr>
      </w:pPr>
    </w:p>
    <w:p w:rsidR="00FE261C" w:rsidRPr="00917EFA" w:rsidRDefault="001500F1" w:rsidP="005A40B3">
      <w:pPr>
        <w:rPr>
          <w:rFonts w:ascii="Times New Roman" w:hAnsi="Times New Roman" w:cs="Times New Roman"/>
          <w:b/>
          <w:i/>
          <w:sz w:val="24"/>
          <w:szCs w:val="24"/>
        </w:rPr>
      </w:pPr>
      <w:r w:rsidRPr="00917EFA">
        <w:rPr>
          <w:rFonts w:ascii="Times New Roman" w:hAnsi="Times New Roman" w:cs="Times New Roman"/>
          <w:b/>
          <w:i/>
          <w:sz w:val="24"/>
          <w:szCs w:val="24"/>
        </w:rPr>
        <w:t>UC claimants serving a sanction at a point in time by conditionality group</w:t>
      </w:r>
    </w:p>
    <w:p w:rsidR="001500F1" w:rsidRPr="00917EFA" w:rsidRDefault="001500F1" w:rsidP="005A40B3">
      <w:pPr>
        <w:rPr>
          <w:rFonts w:ascii="Times New Roman" w:hAnsi="Times New Roman" w:cs="Times New Roman"/>
          <w:sz w:val="24"/>
          <w:szCs w:val="24"/>
        </w:rPr>
      </w:pPr>
    </w:p>
    <w:p w:rsidR="0014666F" w:rsidRPr="00917EFA" w:rsidRDefault="00471379" w:rsidP="005A40B3">
      <w:pPr>
        <w:rPr>
          <w:rFonts w:ascii="Times New Roman" w:hAnsi="Times New Roman" w:cs="Times New Roman"/>
          <w:sz w:val="24"/>
          <w:szCs w:val="24"/>
        </w:rPr>
      </w:pPr>
      <w:r w:rsidRPr="00917EFA">
        <w:rPr>
          <w:rFonts w:ascii="Times New Roman" w:hAnsi="Times New Roman" w:cs="Times New Roman"/>
          <w:b/>
          <w:sz w:val="24"/>
          <w:szCs w:val="24"/>
        </w:rPr>
        <w:t xml:space="preserve">Figure </w:t>
      </w:r>
      <w:r w:rsidR="008C2D78">
        <w:rPr>
          <w:rFonts w:ascii="Times New Roman" w:hAnsi="Times New Roman" w:cs="Times New Roman"/>
          <w:b/>
          <w:sz w:val="24"/>
          <w:szCs w:val="24"/>
        </w:rPr>
        <w:t>14</w:t>
      </w:r>
      <w:r w:rsidRPr="00917EFA">
        <w:rPr>
          <w:rFonts w:ascii="Times New Roman" w:hAnsi="Times New Roman" w:cs="Times New Roman"/>
          <w:sz w:val="24"/>
          <w:szCs w:val="24"/>
        </w:rPr>
        <w:t xml:space="preserve"> shows the percentage of </w:t>
      </w:r>
      <w:r w:rsidR="009C152B" w:rsidRPr="00917EFA">
        <w:rPr>
          <w:rFonts w:ascii="Times New Roman" w:hAnsi="Times New Roman" w:cs="Times New Roman"/>
          <w:sz w:val="24"/>
          <w:szCs w:val="24"/>
        </w:rPr>
        <w:t xml:space="preserve">UC </w:t>
      </w:r>
      <w:r w:rsidRPr="00917EFA">
        <w:rPr>
          <w:rFonts w:ascii="Times New Roman" w:hAnsi="Times New Roman" w:cs="Times New Roman"/>
          <w:sz w:val="24"/>
          <w:szCs w:val="24"/>
        </w:rPr>
        <w:t xml:space="preserve">claimants subject to each </w:t>
      </w:r>
      <w:r w:rsidR="0014666F" w:rsidRPr="00917EFA">
        <w:rPr>
          <w:rFonts w:ascii="Times New Roman" w:hAnsi="Times New Roman" w:cs="Times New Roman"/>
          <w:sz w:val="24"/>
          <w:szCs w:val="24"/>
        </w:rPr>
        <w:t xml:space="preserve">individual </w:t>
      </w:r>
      <w:r w:rsidRPr="00917EFA">
        <w:rPr>
          <w:rFonts w:ascii="Times New Roman" w:hAnsi="Times New Roman" w:cs="Times New Roman"/>
          <w:sz w:val="24"/>
          <w:szCs w:val="24"/>
        </w:rPr>
        <w:t xml:space="preserve">conditionality regime </w:t>
      </w:r>
      <w:r w:rsidR="0014666F" w:rsidRPr="00917EFA">
        <w:rPr>
          <w:rFonts w:ascii="Times New Roman" w:hAnsi="Times New Roman" w:cs="Times New Roman"/>
          <w:sz w:val="24"/>
          <w:szCs w:val="24"/>
        </w:rPr>
        <w:t xml:space="preserve">who were serving a sanction at the measurement date in each month. </w:t>
      </w:r>
      <w:r w:rsidR="009C152B" w:rsidRPr="00917EFA">
        <w:rPr>
          <w:rFonts w:ascii="Times New Roman" w:hAnsi="Times New Roman" w:cs="Times New Roman"/>
          <w:sz w:val="24"/>
          <w:szCs w:val="24"/>
        </w:rPr>
        <w:t>As usual,</w:t>
      </w:r>
      <w:r w:rsidR="0014666F" w:rsidRPr="00917EFA">
        <w:rPr>
          <w:rFonts w:ascii="Times New Roman" w:hAnsi="Times New Roman" w:cs="Times New Roman"/>
          <w:sz w:val="24"/>
          <w:szCs w:val="24"/>
        </w:rPr>
        <w:t xml:space="preserve"> </w:t>
      </w:r>
      <w:r w:rsidR="0014666F" w:rsidRPr="00917EFA">
        <w:rPr>
          <w:rFonts w:ascii="Times New Roman" w:hAnsi="Times New Roman" w:cs="Times New Roman"/>
          <w:sz w:val="24"/>
          <w:szCs w:val="24"/>
        </w:rPr>
        <w:lastRenderedPageBreak/>
        <w:t>unemployed (‘searching for work’) claimants were far more likely to be sanctioned than the other two groups subject to conditionality</w:t>
      </w:r>
      <w:r w:rsidR="006A7BBB" w:rsidRPr="00917EFA">
        <w:rPr>
          <w:rFonts w:ascii="Times New Roman" w:hAnsi="Times New Roman" w:cs="Times New Roman"/>
          <w:sz w:val="24"/>
          <w:szCs w:val="24"/>
        </w:rPr>
        <w:t xml:space="preserve">, with </w:t>
      </w:r>
      <w:r w:rsidR="001C1F2A">
        <w:rPr>
          <w:rFonts w:ascii="Times New Roman" w:hAnsi="Times New Roman" w:cs="Times New Roman"/>
          <w:sz w:val="24"/>
          <w:szCs w:val="24"/>
        </w:rPr>
        <w:t xml:space="preserve">123,517 </w:t>
      </w:r>
      <w:r w:rsidR="00EC4687" w:rsidRPr="00917EFA">
        <w:rPr>
          <w:rFonts w:ascii="Times New Roman" w:hAnsi="Times New Roman" w:cs="Times New Roman"/>
          <w:sz w:val="24"/>
          <w:szCs w:val="24"/>
        </w:rPr>
        <w:t xml:space="preserve">or </w:t>
      </w:r>
      <w:r w:rsidR="00B33BB6" w:rsidRPr="00917EFA">
        <w:rPr>
          <w:rFonts w:ascii="Times New Roman" w:hAnsi="Times New Roman" w:cs="Times New Roman"/>
          <w:sz w:val="24"/>
          <w:szCs w:val="24"/>
        </w:rPr>
        <w:t>8.</w:t>
      </w:r>
      <w:r w:rsidR="001C1F2A">
        <w:rPr>
          <w:rFonts w:ascii="Times New Roman" w:hAnsi="Times New Roman" w:cs="Times New Roman"/>
          <w:sz w:val="24"/>
          <w:szCs w:val="24"/>
        </w:rPr>
        <w:t>77</w:t>
      </w:r>
      <w:r w:rsidR="008B0CBB" w:rsidRPr="00917EFA">
        <w:rPr>
          <w:rFonts w:ascii="Times New Roman" w:hAnsi="Times New Roman" w:cs="Times New Roman"/>
          <w:sz w:val="24"/>
          <w:szCs w:val="24"/>
        </w:rPr>
        <w:t xml:space="preserve">% under sanction in </w:t>
      </w:r>
      <w:r w:rsidR="001C1F2A">
        <w:rPr>
          <w:rFonts w:ascii="Times New Roman" w:hAnsi="Times New Roman" w:cs="Times New Roman"/>
          <w:sz w:val="24"/>
          <w:szCs w:val="24"/>
        </w:rPr>
        <w:t xml:space="preserve">November </w:t>
      </w:r>
      <w:r w:rsidR="0013643A" w:rsidRPr="00917EFA">
        <w:rPr>
          <w:rFonts w:ascii="Times New Roman" w:hAnsi="Times New Roman" w:cs="Times New Roman"/>
          <w:sz w:val="24"/>
          <w:szCs w:val="24"/>
        </w:rPr>
        <w:t>2023</w:t>
      </w:r>
      <w:r w:rsidR="006A7BBB" w:rsidRPr="00917EFA">
        <w:rPr>
          <w:rFonts w:ascii="Times New Roman" w:hAnsi="Times New Roman" w:cs="Times New Roman"/>
          <w:sz w:val="24"/>
          <w:szCs w:val="24"/>
        </w:rPr>
        <w:t xml:space="preserve"> compared to</w:t>
      </w:r>
      <w:r w:rsidR="0014666F" w:rsidRPr="00917EFA">
        <w:rPr>
          <w:rFonts w:ascii="Times New Roman" w:hAnsi="Times New Roman" w:cs="Times New Roman"/>
          <w:sz w:val="24"/>
          <w:szCs w:val="24"/>
        </w:rPr>
        <w:t xml:space="preserve"> </w:t>
      </w:r>
      <w:r w:rsidR="006A7BBB" w:rsidRPr="00917EFA">
        <w:rPr>
          <w:rFonts w:ascii="Times New Roman" w:hAnsi="Times New Roman" w:cs="Times New Roman"/>
          <w:sz w:val="24"/>
          <w:szCs w:val="24"/>
        </w:rPr>
        <w:t>0.</w:t>
      </w:r>
      <w:r w:rsidR="001C1F2A">
        <w:rPr>
          <w:rFonts w:ascii="Times New Roman" w:hAnsi="Times New Roman" w:cs="Times New Roman"/>
          <w:sz w:val="24"/>
          <w:szCs w:val="24"/>
        </w:rPr>
        <w:t>86</w:t>
      </w:r>
      <w:r w:rsidR="006A7BBB" w:rsidRPr="00917EFA">
        <w:rPr>
          <w:rFonts w:ascii="Times New Roman" w:hAnsi="Times New Roman" w:cs="Times New Roman"/>
          <w:sz w:val="24"/>
          <w:szCs w:val="24"/>
        </w:rPr>
        <w:t xml:space="preserve">% for </w:t>
      </w:r>
      <w:r w:rsidR="0014666F" w:rsidRPr="00917EFA">
        <w:rPr>
          <w:rFonts w:ascii="Times New Roman" w:hAnsi="Times New Roman" w:cs="Times New Roman"/>
          <w:sz w:val="24"/>
          <w:szCs w:val="24"/>
        </w:rPr>
        <w:t xml:space="preserve">‘planning for work’ and </w:t>
      </w:r>
      <w:r w:rsidR="00B33BB6" w:rsidRPr="00917EFA">
        <w:rPr>
          <w:rFonts w:ascii="Times New Roman" w:hAnsi="Times New Roman" w:cs="Times New Roman"/>
          <w:sz w:val="24"/>
          <w:szCs w:val="24"/>
        </w:rPr>
        <w:t>0.</w:t>
      </w:r>
      <w:r w:rsidR="001C1F2A">
        <w:rPr>
          <w:rFonts w:ascii="Times New Roman" w:hAnsi="Times New Roman" w:cs="Times New Roman"/>
          <w:sz w:val="24"/>
          <w:szCs w:val="24"/>
        </w:rPr>
        <w:t>71</w:t>
      </w:r>
      <w:r w:rsidR="00B33BB6" w:rsidRPr="00917EFA">
        <w:rPr>
          <w:rFonts w:ascii="Times New Roman" w:hAnsi="Times New Roman" w:cs="Times New Roman"/>
          <w:sz w:val="24"/>
          <w:szCs w:val="24"/>
        </w:rPr>
        <w:t xml:space="preserve">% for </w:t>
      </w:r>
      <w:r w:rsidR="0014666F" w:rsidRPr="00917EFA">
        <w:rPr>
          <w:rFonts w:ascii="Times New Roman" w:hAnsi="Times New Roman" w:cs="Times New Roman"/>
          <w:sz w:val="24"/>
          <w:szCs w:val="24"/>
        </w:rPr>
        <w:t xml:space="preserve">‘preparing for work’. </w:t>
      </w:r>
      <w:r w:rsidR="001C1F2A">
        <w:rPr>
          <w:rFonts w:ascii="Times New Roman" w:hAnsi="Times New Roman" w:cs="Times New Roman"/>
          <w:sz w:val="24"/>
          <w:szCs w:val="24"/>
        </w:rPr>
        <w:t xml:space="preserve">The numbers have increased significantly compared to those previously published. For August 2023, the previous figures had 112,877 unemployed claimants serving a sanction; the </w:t>
      </w:r>
      <w:r w:rsidR="002A0E6D">
        <w:rPr>
          <w:rFonts w:ascii="Times New Roman" w:hAnsi="Times New Roman" w:cs="Times New Roman"/>
          <w:sz w:val="24"/>
          <w:szCs w:val="24"/>
        </w:rPr>
        <w:t>revised</w:t>
      </w:r>
      <w:r w:rsidR="001C1F2A">
        <w:rPr>
          <w:rFonts w:ascii="Times New Roman" w:hAnsi="Times New Roman" w:cs="Times New Roman"/>
          <w:sz w:val="24"/>
          <w:szCs w:val="24"/>
        </w:rPr>
        <w:t xml:space="preserve"> figure give this as 123,252. </w:t>
      </w:r>
      <w:r w:rsidR="00244C44" w:rsidRPr="00917EFA">
        <w:rPr>
          <w:rFonts w:ascii="Times New Roman" w:hAnsi="Times New Roman" w:cs="Times New Roman"/>
          <w:sz w:val="24"/>
          <w:szCs w:val="24"/>
        </w:rPr>
        <w:t>One in 1</w:t>
      </w:r>
      <w:r w:rsidR="001C1F2A">
        <w:rPr>
          <w:rFonts w:ascii="Times New Roman" w:hAnsi="Times New Roman" w:cs="Times New Roman"/>
          <w:sz w:val="24"/>
          <w:szCs w:val="24"/>
        </w:rPr>
        <w:t>1</w:t>
      </w:r>
      <w:r w:rsidR="00244C44" w:rsidRPr="00917EFA">
        <w:rPr>
          <w:rFonts w:ascii="Times New Roman" w:hAnsi="Times New Roman" w:cs="Times New Roman"/>
          <w:sz w:val="24"/>
          <w:szCs w:val="24"/>
        </w:rPr>
        <w:t xml:space="preserve"> unemployed UC claimants was under sanction in </w:t>
      </w:r>
      <w:r w:rsidR="001C1F2A">
        <w:rPr>
          <w:rFonts w:ascii="Times New Roman" w:hAnsi="Times New Roman" w:cs="Times New Roman"/>
          <w:sz w:val="24"/>
          <w:szCs w:val="24"/>
        </w:rPr>
        <w:t>November</w:t>
      </w:r>
      <w:r w:rsidR="00B33BB6" w:rsidRPr="00917EFA">
        <w:rPr>
          <w:rFonts w:ascii="Times New Roman" w:hAnsi="Times New Roman" w:cs="Times New Roman"/>
          <w:sz w:val="24"/>
          <w:szCs w:val="24"/>
        </w:rPr>
        <w:t xml:space="preserve"> </w:t>
      </w:r>
      <w:r w:rsidR="0013643A" w:rsidRPr="00917EFA">
        <w:rPr>
          <w:rFonts w:ascii="Times New Roman" w:hAnsi="Times New Roman" w:cs="Times New Roman"/>
          <w:sz w:val="24"/>
          <w:szCs w:val="24"/>
        </w:rPr>
        <w:t>2023</w:t>
      </w:r>
      <w:r w:rsidR="008B0CBB" w:rsidRPr="00917EFA">
        <w:rPr>
          <w:rFonts w:ascii="Times New Roman" w:hAnsi="Times New Roman" w:cs="Times New Roman"/>
          <w:sz w:val="24"/>
          <w:szCs w:val="24"/>
        </w:rPr>
        <w:t>.</w:t>
      </w:r>
    </w:p>
    <w:p w:rsidR="008B0CBB" w:rsidRPr="00917EFA" w:rsidRDefault="008B0CBB" w:rsidP="005A40B3">
      <w:pPr>
        <w:rPr>
          <w:rFonts w:ascii="Times New Roman" w:hAnsi="Times New Roman" w:cs="Times New Roman"/>
          <w:sz w:val="24"/>
          <w:szCs w:val="24"/>
        </w:rPr>
      </w:pPr>
    </w:p>
    <w:p w:rsidR="00AF6743" w:rsidRPr="00917EFA" w:rsidRDefault="001D1536" w:rsidP="005A40B3">
      <w:pPr>
        <w:rPr>
          <w:rFonts w:ascii="Times New Roman" w:hAnsi="Times New Roman" w:cs="Times New Roman"/>
          <w:sz w:val="24"/>
          <w:szCs w:val="24"/>
        </w:rPr>
      </w:pPr>
      <w:r w:rsidRPr="00917EFA">
        <w:rPr>
          <w:rFonts w:ascii="Times New Roman" w:hAnsi="Times New Roman" w:cs="Times New Roman"/>
          <w:sz w:val="24"/>
          <w:szCs w:val="24"/>
        </w:rPr>
        <w:t>T</w:t>
      </w:r>
      <w:r w:rsidR="0014666F" w:rsidRPr="00917EFA">
        <w:rPr>
          <w:rFonts w:ascii="Times New Roman" w:hAnsi="Times New Roman" w:cs="Times New Roman"/>
          <w:sz w:val="24"/>
          <w:szCs w:val="24"/>
        </w:rPr>
        <w:t xml:space="preserve">here are also people in the groups not subject to conditionality who are serving sanctions. That is because </w:t>
      </w:r>
      <w:r w:rsidRPr="00917EFA">
        <w:rPr>
          <w:rFonts w:ascii="Times New Roman" w:hAnsi="Times New Roman" w:cs="Times New Roman"/>
          <w:sz w:val="24"/>
          <w:szCs w:val="24"/>
        </w:rPr>
        <w:t>under</w:t>
      </w:r>
      <w:r w:rsidR="0014666F" w:rsidRPr="00917EFA">
        <w:rPr>
          <w:rFonts w:ascii="Times New Roman" w:hAnsi="Times New Roman" w:cs="Times New Roman"/>
          <w:sz w:val="24"/>
          <w:szCs w:val="24"/>
        </w:rPr>
        <w:t xml:space="preserve"> UC</w:t>
      </w:r>
      <w:r w:rsidRPr="00917EFA">
        <w:rPr>
          <w:rFonts w:ascii="Times New Roman" w:hAnsi="Times New Roman" w:cs="Times New Roman"/>
          <w:sz w:val="24"/>
          <w:szCs w:val="24"/>
        </w:rPr>
        <w:t>,</w:t>
      </w:r>
      <w:r w:rsidR="0014666F" w:rsidRPr="00917EFA">
        <w:rPr>
          <w:rFonts w:ascii="Times New Roman" w:hAnsi="Times New Roman" w:cs="Times New Roman"/>
          <w:sz w:val="24"/>
          <w:szCs w:val="24"/>
        </w:rPr>
        <w:t xml:space="preserve"> sanctioned claimants are made to serve out the whole of their sanction even if they move into a no-conditionality group, for instance because of illness.</w:t>
      </w:r>
      <w:r w:rsidR="00A61083" w:rsidRPr="00917EFA">
        <w:rPr>
          <w:rFonts w:ascii="Times New Roman" w:hAnsi="Times New Roman" w:cs="Times New Roman"/>
          <w:sz w:val="24"/>
          <w:szCs w:val="24"/>
        </w:rPr>
        <w:t xml:space="preserve"> The</w:t>
      </w:r>
      <w:r w:rsidR="005149B7" w:rsidRPr="00917EFA">
        <w:rPr>
          <w:rFonts w:ascii="Times New Roman" w:hAnsi="Times New Roman" w:cs="Times New Roman"/>
          <w:sz w:val="24"/>
          <w:szCs w:val="24"/>
        </w:rPr>
        <w:t>re were</w:t>
      </w:r>
      <w:r w:rsidRPr="00917EFA">
        <w:rPr>
          <w:rFonts w:ascii="Times New Roman" w:hAnsi="Times New Roman" w:cs="Times New Roman"/>
          <w:sz w:val="24"/>
          <w:szCs w:val="24"/>
        </w:rPr>
        <w:t xml:space="preserve"> </w:t>
      </w:r>
      <w:r w:rsidR="00586D7C">
        <w:rPr>
          <w:rFonts w:ascii="Times New Roman" w:hAnsi="Times New Roman" w:cs="Times New Roman"/>
          <w:sz w:val="24"/>
          <w:szCs w:val="24"/>
        </w:rPr>
        <w:t>7,530</w:t>
      </w:r>
      <w:r w:rsidRPr="00917EFA">
        <w:rPr>
          <w:rFonts w:ascii="Times New Roman" w:hAnsi="Times New Roman" w:cs="Times New Roman"/>
          <w:sz w:val="24"/>
          <w:szCs w:val="24"/>
        </w:rPr>
        <w:t xml:space="preserve"> </w:t>
      </w:r>
      <w:r w:rsidR="005149B7" w:rsidRPr="00917EFA">
        <w:rPr>
          <w:rFonts w:ascii="Times New Roman" w:hAnsi="Times New Roman" w:cs="Times New Roman"/>
          <w:sz w:val="24"/>
          <w:szCs w:val="24"/>
        </w:rPr>
        <w:t>of them i</w:t>
      </w:r>
      <w:r w:rsidR="00A61083" w:rsidRPr="00917EFA">
        <w:rPr>
          <w:rFonts w:ascii="Times New Roman" w:hAnsi="Times New Roman" w:cs="Times New Roman"/>
          <w:sz w:val="24"/>
          <w:szCs w:val="24"/>
        </w:rPr>
        <w:t xml:space="preserve">n </w:t>
      </w:r>
      <w:r w:rsidR="002A0E6D">
        <w:rPr>
          <w:rFonts w:ascii="Times New Roman" w:hAnsi="Times New Roman" w:cs="Times New Roman"/>
          <w:sz w:val="24"/>
          <w:szCs w:val="24"/>
        </w:rPr>
        <w:t>November</w:t>
      </w:r>
      <w:r w:rsidR="00A30F3C" w:rsidRPr="00917EFA">
        <w:rPr>
          <w:rFonts w:ascii="Times New Roman" w:hAnsi="Times New Roman" w:cs="Times New Roman"/>
          <w:sz w:val="24"/>
          <w:szCs w:val="24"/>
        </w:rPr>
        <w:t xml:space="preserve"> 2023</w:t>
      </w:r>
      <w:r w:rsidR="009C152B" w:rsidRPr="00917EFA">
        <w:rPr>
          <w:rFonts w:ascii="Times New Roman" w:hAnsi="Times New Roman" w:cs="Times New Roman"/>
          <w:sz w:val="24"/>
          <w:szCs w:val="24"/>
        </w:rPr>
        <w:t xml:space="preserve">, </w:t>
      </w:r>
      <w:r w:rsidR="006F50C8" w:rsidRPr="00917EFA">
        <w:rPr>
          <w:rFonts w:ascii="Times New Roman" w:hAnsi="Times New Roman" w:cs="Times New Roman"/>
          <w:sz w:val="24"/>
          <w:szCs w:val="24"/>
        </w:rPr>
        <w:t xml:space="preserve">almost </w:t>
      </w:r>
      <w:r w:rsidR="00A30F3C" w:rsidRPr="00917EFA">
        <w:rPr>
          <w:rFonts w:ascii="Times New Roman" w:hAnsi="Times New Roman" w:cs="Times New Roman"/>
          <w:sz w:val="24"/>
          <w:szCs w:val="24"/>
        </w:rPr>
        <w:t>half</w:t>
      </w:r>
      <w:r w:rsidR="009C152B" w:rsidRPr="00917EFA">
        <w:rPr>
          <w:rFonts w:ascii="Times New Roman" w:hAnsi="Times New Roman" w:cs="Times New Roman"/>
          <w:sz w:val="24"/>
          <w:szCs w:val="24"/>
        </w:rPr>
        <w:t xml:space="preserve"> </w:t>
      </w:r>
      <w:r w:rsidR="00943CCF" w:rsidRPr="00917EFA">
        <w:rPr>
          <w:rFonts w:ascii="Times New Roman" w:hAnsi="Times New Roman" w:cs="Times New Roman"/>
          <w:sz w:val="24"/>
          <w:szCs w:val="24"/>
        </w:rPr>
        <w:t>(</w:t>
      </w:r>
      <w:r w:rsidR="00B33BB6" w:rsidRPr="00917EFA">
        <w:rPr>
          <w:rFonts w:ascii="Times New Roman" w:hAnsi="Times New Roman" w:cs="Times New Roman"/>
          <w:sz w:val="24"/>
          <w:szCs w:val="24"/>
        </w:rPr>
        <w:t>3,</w:t>
      </w:r>
      <w:r w:rsidR="00586D7C">
        <w:rPr>
          <w:rFonts w:ascii="Times New Roman" w:hAnsi="Times New Roman" w:cs="Times New Roman"/>
          <w:sz w:val="24"/>
          <w:szCs w:val="24"/>
        </w:rPr>
        <w:t>534</w:t>
      </w:r>
      <w:r w:rsidR="00943CCF" w:rsidRPr="00917EFA">
        <w:rPr>
          <w:rFonts w:ascii="Times New Roman" w:hAnsi="Times New Roman" w:cs="Times New Roman"/>
          <w:sz w:val="24"/>
          <w:szCs w:val="24"/>
        </w:rPr>
        <w:t xml:space="preserve">) </w:t>
      </w:r>
      <w:r w:rsidR="00A30F3C" w:rsidRPr="00917EFA">
        <w:rPr>
          <w:rFonts w:ascii="Times New Roman" w:hAnsi="Times New Roman" w:cs="Times New Roman"/>
          <w:sz w:val="24"/>
          <w:szCs w:val="24"/>
        </w:rPr>
        <w:t xml:space="preserve">of these </w:t>
      </w:r>
      <w:r w:rsidR="009C152B" w:rsidRPr="00917EFA">
        <w:rPr>
          <w:rFonts w:ascii="Times New Roman" w:hAnsi="Times New Roman" w:cs="Times New Roman"/>
          <w:sz w:val="24"/>
          <w:szCs w:val="24"/>
        </w:rPr>
        <w:t>in the ‘working – with requirements’ group</w:t>
      </w:r>
      <w:r w:rsidR="00C00B0A" w:rsidRPr="00917EFA">
        <w:rPr>
          <w:rFonts w:ascii="Times New Roman" w:hAnsi="Times New Roman" w:cs="Times New Roman"/>
          <w:sz w:val="24"/>
          <w:szCs w:val="24"/>
        </w:rPr>
        <w:t>. Th</w:t>
      </w:r>
      <w:r w:rsidR="00C473AD" w:rsidRPr="00917EFA">
        <w:rPr>
          <w:rFonts w:ascii="Times New Roman" w:hAnsi="Times New Roman" w:cs="Times New Roman"/>
          <w:sz w:val="24"/>
          <w:szCs w:val="24"/>
        </w:rPr>
        <w:t xml:space="preserve">is group </w:t>
      </w:r>
      <w:r w:rsidR="009C152B" w:rsidRPr="00917EFA">
        <w:rPr>
          <w:rFonts w:ascii="Times New Roman" w:hAnsi="Times New Roman" w:cs="Times New Roman"/>
          <w:sz w:val="24"/>
          <w:szCs w:val="24"/>
        </w:rPr>
        <w:t>are the most likely to have recently been unemployed and therefore to have been sanctioned</w:t>
      </w:r>
      <w:r w:rsidR="00EB0B66" w:rsidRPr="00917EFA">
        <w:rPr>
          <w:rFonts w:ascii="Times New Roman" w:hAnsi="Times New Roman" w:cs="Times New Roman"/>
          <w:sz w:val="24"/>
          <w:szCs w:val="24"/>
        </w:rPr>
        <w:t xml:space="preserve">. </w:t>
      </w:r>
    </w:p>
    <w:p w:rsidR="0077461B" w:rsidRPr="00917EFA" w:rsidRDefault="0077461B" w:rsidP="005A40B3">
      <w:pPr>
        <w:pStyle w:val="NormalWeb"/>
        <w:spacing w:before="0" w:beforeAutospacing="0" w:after="0" w:afterAutospacing="0"/>
        <w:rPr>
          <w:b/>
          <w:sz w:val="32"/>
          <w:szCs w:val="32"/>
        </w:rPr>
      </w:pPr>
    </w:p>
    <w:p w:rsidR="00EC5B96" w:rsidRPr="00872C4C" w:rsidRDefault="00EC5B96" w:rsidP="00C92733">
      <w:pPr>
        <w:pStyle w:val="text"/>
        <w:spacing w:before="0" w:beforeAutospacing="0" w:after="0" w:afterAutospacing="0"/>
        <w:rPr>
          <w:b/>
          <w:sz w:val="32"/>
          <w:szCs w:val="32"/>
        </w:rPr>
      </w:pPr>
      <w:r w:rsidRPr="00872C4C">
        <w:rPr>
          <w:b/>
          <w:sz w:val="32"/>
          <w:szCs w:val="32"/>
        </w:rPr>
        <w:t>Deductions from U</w:t>
      </w:r>
      <w:r w:rsidR="0057650F">
        <w:rPr>
          <w:b/>
          <w:sz w:val="32"/>
          <w:szCs w:val="32"/>
        </w:rPr>
        <w:t xml:space="preserve">niversal </w:t>
      </w:r>
      <w:r w:rsidRPr="00872C4C">
        <w:rPr>
          <w:b/>
          <w:sz w:val="32"/>
          <w:szCs w:val="32"/>
        </w:rPr>
        <w:t>C</w:t>
      </w:r>
      <w:r w:rsidR="0057650F">
        <w:rPr>
          <w:b/>
          <w:sz w:val="32"/>
          <w:szCs w:val="32"/>
        </w:rPr>
        <w:t>redit</w:t>
      </w:r>
    </w:p>
    <w:p w:rsidR="00EC5B96" w:rsidRDefault="00EC5B96" w:rsidP="00C92733">
      <w:pPr>
        <w:pStyle w:val="text"/>
        <w:spacing w:before="0" w:beforeAutospacing="0" w:after="0" w:afterAutospacing="0"/>
      </w:pPr>
    </w:p>
    <w:p w:rsidR="00EC5B96" w:rsidRPr="00C75A11" w:rsidRDefault="003822DC" w:rsidP="00C92733">
      <w:pPr>
        <w:pStyle w:val="text"/>
        <w:spacing w:before="0" w:beforeAutospacing="0" w:after="0" w:afterAutospacing="0"/>
      </w:pPr>
      <w:r>
        <w:t xml:space="preserve">The November 2023 Briefing, p.7, noted a Parliamentary written answer to Sir Stephen Timms on deductions from Universal Credit in 2021-22. A further written answer on 15 January at </w:t>
      </w:r>
      <w:hyperlink r:id="rId20" w:anchor="g8649.r0" w:history="1">
        <w:r w:rsidRPr="00F902A5">
          <w:rPr>
            <w:rStyle w:val="Hyperlink"/>
          </w:rPr>
          <w:t>https://www.theyworkforyou.com/wrans/?id=2024-01-09.8649.h&amp;s=universal+credit+sanction#g8649.r0</w:t>
        </w:r>
      </w:hyperlink>
      <w:r>
        <w:t xml:space="preserve"> has provided similar information for 2022-23. This shows that 3.5m claimants had £1.60 billion deducted from their UC payments in that year. The average amount deducted per month was £62, and on average 43% </w:t>
      </w:r>
      <w:r w:rsidR="00AE532B">
        <w:t xml:space="preserve">of this </w:t>
      </w:r>
      <w:r>
        <w:t xml:space="preserve">was to repay an advance. The total lost </w:t>
      </w:r>
      <w:r w:rsidR="00C86079">
        <w:t xml:space="preserve">to claimants in Birmingham was £45m </w:t>
      </w:r>
      <w:r>
        <w:t xml:space="preserve">and in Manchester </w:t>
      </w:r>
      <w:r w:rsidR="00C86079">
        <w:t xml:space="preserve">and Glasgow </w:t>
      </w:r>
      <w:r>
        <w:t xml:space="preserve">£23m </w:t>
      </w:r>
      <w:r w:rsidR="00C86079">
        <w:t xml:space="preserve">each. These figures were all very slightly down on </w:t>
      </w:r>
      <w:r w:rsidR="00DF464D">
        <w:t xml:space="preserve">those for </w:t>
      </w:r>
      <w:r w:rsidR="00C86079">
        <w:t>2021-22.</w:t>
      </w:r>
    </w:p>
    <w:p w:rsidR="008A48A1" w:rsidRPr="006F6339" w:rsidRDefault="008A48A1">
      <w:pPr>
        <w:rPr>
          <w:rFonts w:ascii="Times New Roman" w:hAnsi="Times New Roman" w:cs="Times New Roman"/>
          <w:bCs/>
          <w:sz w:val="24"/>
          <w:szCs w:val="24"/>
        </w:rPr>
      </w:pPr>
    </w:p>
    <w:p w:rsidR="00C86079" w:rsidRPr="006F6339" w:rsidRDefault="00C86079" w:rsidP="00C86079">
      <w:pPr>
        <w:rPr>
          <w:rFonts w:ascii="Times New Roman" w:hAnsi="Times New Roman" w:cs="Times New Roman"/>
          <w:bCs/>
          <w:color w:val="FF0000"/>
          <w:sz w:val="24"/>
          <w:szCs w:val="24"/>
        </w:rPr>
      </w:pPr>
      <w:r w:rsidRPr="006F6339">
        <w:rPr>
          <w:rFonts w:ascii="Times New Roman" w:hAnsi="Times New Roman" w:cs="Times New Roman"/>
          <w:bCs/>
          <w:sz w:val="24"/>
          <w:szCs w:val="24"/>
        </w:rPr>
        <w:t xml:space="preserve">Additional information for 2022-23 was given in a Parliamentary answer on </w:t>
      </w:r>
      <w:r w:rsidR="006F6339" w:rsidRPr="006F6339">
        <w:rPr>
          <w:rFonts w:ascii="Times New Roman" w:hAnsi="Times New Roman" w:cs="Times New Roman"/>
          <w:bCs/>
          <w:sz w:val="24"/>
          <w:szCs w:val="24"/>
        </w:rPr>
        <w:t>31 January</w:t>
      </w:r>
      <w:r w:rsidRPr="006F6339">
        <w:rPr>
          <w:rFonts w:ascii="Times New Roman" w:hAnsi="Times New Roman" w:cs="Times New Roman"/>
          <w:bCs/>
          <w:sz w:val="24"/>
          <w:szCs w:val="24"/>
        </w:rPr>
        <w:t xml:space="preserve">, at </w:t>
      </w:r>
      <w:hyperlink r:id="rId21" w:anchor="gHL1702.q0" w:history="1">
        <w:r w:rsidRPr="006F6339">
          <w:rPr>
            <w:rStyle w:val="Hyperlink"/>
            <w:rFonts w:ascii="Times New Roman" w:hAnsi="Times New Roman" w:cs="Times New Roman"/>
            <w:bCs/>
            <w:sz w:val="24"/>
            <w:szCs w:val="24"/>
          </w:rPr>
          <w:t>https://www.theyworkforyou.com/wrans/?id=2024-01-17.HL1702.h&amp;s=universal+credit+sanction#gHL1702.q0</w:t>
        </w:r>
      </w:hyperlink>
      <w:r w:rsidR="00B93623">
        <w:rPr>
          <w:rFonts w:ascii="Times New Roman" w:hAnsi="Times New Roman" w:cs="Times New Roman"/>
          <w:sz w:val="24"/>
          <w:szCs w:val="24"/>
        </w:rPr>
        <w:t xml:space="preserve"> This </w:t>
      </w:r>
      <w:r w:rsidR="00DF464D">
        <w:rPr>
          <w:rFonts w:ascii="Times New Roman" w:hAnsi="Times New Roman" w:cs="Times New Roman"/>
          <w:sz w:val="24"/>
          <w:szCs w:val="24"/>
        </w:rPr>
        <w:t>i</w:t>
      </w:r>
      <w:r w:rsidR="00B93623">
        <w:rPr>
          <w:rFonts w:ascii="Times New Roman" w:hAnsi="Times New Roman" w:cs="Times New Roman"/>
          <w:sz w:val="24"/>
          <w:szCs w:val="24"/>
        </w:rPr>
        <w:t>s on the basis of claims rather than claimants</w:t>
      </w:r>
      <w:r w:rsidR="00DF464D">
        <w:rPr>
          <w:rFonts w:ascii="Times New Roman" w:hAnsi="Times New Roman" w:cs="Times New Roman"/>
          <w:sz w:val="24"/>
          <w:szCs w:val="24"/>
        </w:rPr>
        <w:t xml:space="preserve"> It</w:t>
      </w:r>
      <w:r w:rsidR="00B93623">
        <w:rPr>
          <w:rFonts w:ascii="Times New Roman" w:hAnsi="Times New Roman" w:cs="Times New Roman"/>
          <w:sz w:val="24"/>
          <w:szCs w:val="24"/>
        </w:rPr>
        <w:t xml:space="preserve"> show</w:t>
      </w:r>
      <w:r w:rsidR="00DF464D">
        <w:rPr>
          <w:rFonts w:ascii="Times New Roman" w:hAnsi="Times New Roman" w:cs="Times New Roman"/>
          <w:sz w:val="24"/>
          <w:szCs w:val="24"/>
        </w:rPr>
        <w:t>s</w:t>
      </w:r>
      <w:r w:rsidR="00B93623">
        <w:rPr>
          <w:rFonts w:ascii="Times New Roman" w:hAnsi="Times New Roman" w:cs="Times New Roman"/>
          <w:sz w:val="24"/>
          <w:szCs w:val="24"/>
        </w:rPr>
        <w:t xml:space="preserve"> the same total </w:t>
      </w:r>
      <w:r w:rsidR="00DF464D">
        <w:rPr>
          <w:rFonts w:ascii="Times New Roman" w:hAnsi="Times New Roman" w:cs="Times New Roman"/>
          <w:sz w:val="24"/>
          <w:szCs w:val="24"/>
        </w:rPr>
        <w:t xml:space="preserve">and average </w:t>
      </w:r>
      <w:r w:rsidR="00B93623">
        <w:rPr>
          <w:rFonts w:ascii="Times New Roman" w:hAnsi="Times New Roman" w:cs="Times New Roman"/>
          <w:sz w:val="24"/>
          <w:szCs w:val="24"/>
        </w:rPr>
        <w:t>amount</w:t>
      </w:r>
      <w:r w:rsidR="00DF464D">
        <w:rPr>
          <w:rFonts w:ascii="Times New Roman" w:hAnsi="Times New Roman" w:cs="Times New Roman"/>
          <w:sz w:val="24"/>
          <w:szCs w:val="24"/>
        </w:rPr>
        <w:t>s</w:t>
      </w:r>
      <w:r w:rsidR="00B93623">
        <w:rPr>
          <w:rFonts w:ascii="Times New Roman" w:hAnsi="Times New Roman" w:cs="Times New Roman"/>
          <w:sz w:val="24"/>
          <w:szCs w:val="24"/>
        </w:rPr>
        <w:t xml:space="preserve"> deducted </w:t>
      </w:r>
      <w:r w:rsidR="00DF464D">
        <w:rPr>
          <w:rFonts w:ascii="Times New Roman" w:hAnsi="Times New Roman" w:cs="Times New Roman"/>
          <w:sz w:val="24"/>
          <w:szCs w:val="24"/>
        </w:rPr>
        <w:t>as above</w:t>
      </w:r>
      <w:r w:rsidR="00B93623">
        <w:rPr>
          <w:rFonts w:ascii="Times New Roman" w:hAnsi="Times New Roman" w:cs="Times New Roman"/>
          <w:sz w:val="24"/>
          <w:szCs w:val="24"/>
        </w:rPr>
        <w:t>, but in addition giv</w:t>
      </w:r>
      <w:r w:rsidR="00DF464D">
        <w:rPr>
          <w:rFonts w:ascii="Times New Roman" w:hAnsi="Times New Roman" w:cs="Times New Roman"/>
          <w:sz w:val="24"/>
          <w:szCs w:val="24"/>
        </w:rPr>
        <w:t>es</w:t>
      </w:r>
      <w:r w:rsidR="00B93623">
        <w:rPr>
          <w:rFonts w:ascii="Times New Roman" w:hAnsi="Times New Roman" w:cs="Times New Roman"/>
          <w:sz w:val="24"/>
          <w:szCs w:val="24"/>
        </w:rPr>
        <w:t xml:space="preserve"> a full breakdown of deductions by reason, as follows:</w:t>
      </w:r>
    </w:p>
    <w:p w:rsidR="006F6339" w:rsidRDefault="006F6339">
      <w:pPr>
        <w:rPr>
          <w:rFonts w:ascii="Times New Roman" w:hAnsi="Times New Roman" w:cs="Times New Roman"/>
          <w:bCs/>
          <w:sz w:val="24"/>
          <w:szCs w:val="24"/>
        </w:rPr>
      </w:pPr>
    </w:p>
    <w:tbl>
      <w:tblPr>
        <w:tblW w:w="0" w:type="auto"/>
        <w:tblCellSpacing w:w="15" w:type="dxa"/>
        <w:tblCellMar>
          <w:top w:w="15" w:type="dxa"/>
          <w:left w:w="15" w:type="dxa"/>
          <w:bottom w:w="15" w:type="dxa"/>
          <w:right w:w="15" w:type="dxa"/>
        </w:tblCellMar>
        <w:tblLook w:val="04A0"/>
      </w:tblPr>
      <w:tblGrid>
        <w:gridCol w:w="1933"/>
        <w:gridCol w:w="1525"/>
        <w:gridCol w:w="2370"/>
        <w:gridCol w:w="1774"/>
        <w:gridCol w:w="1514"/>
      </w:tblGrid>
      <w:tr w:rsidR="006F6339" w:rsidTr="006F6339">
        <w:trPr>
          <w:tblCellSpacing w:w="15" w:type="dxa"/>
        </w:trPr>
        <w:tc>
          <w:tcPr>
            <w:tcW w:w="0" w:type="auto"/>
            <w:vAlign w:val="center"/>
            <w:hideMark/>
          </w:tcPr>
          <w:p w:rsidR="006F6339" w:rsidRPr="00DF464D" w:rsidRDefault="006F6339">
            <w:pPr>
              <w:pStyle w:val="NormalWeb"/>
              <w:rPr>
                <w:b/>
              </w:rPr>
            </w:pPr>
            <w:r w:rsidRPr="00DF464D">
              <w:rPr>
                <w:b/>
              </w:rPr>
              <w:t>2022/23</w:t>
            </w:r>
          </w:p>
        </w:tc>
        <w:tc>
          <w:tcPr>
            <w:tcW w:w="0" w:type="auto"/>
            <w:vAlign w:val="center"/>
            <w:hideMark/>
          </w:tcPr>
          <w:p w:rsidR="006F6339" w:rsidRPr="00DF464D" w:rsidRDefault="006F6339">
            <w:pPr>
              <w:pStyle w:val="NormalWeb"/>
              <w:rPr>
                <w:b/>
              </w:rPr>
            </w:pPr>
            <w:r w:rsidRPr="00DF464D">
              <w:rPr>
                <w:b/>
              </w:rPr>
              <w:t xml:space="preserve">Number of distinct </w:t>
            </w:r>
            <w:hyperlink r:id="rId22" w:history="1">
              <w:r w:rsidRPr="00DF464D">
                <w:rPr>
                  <w:rStyle w:val="Hyperlink"/>
                  <w:b/>
                  <w:color w:val="auto"/>
                  <w:u w:val="none"/>
                </w:rPr>
                <w:t>UC</w:t>
              </w:r>
            </w:hyperlink>
            <w:r w:rsidRPr="00DF464D">
              <w:rPr>
                <w:b/>
              </w:rPr>
              <w:t xml:space="preserve"> claims</w:t>
            </w:r>
          </w:p>
        </w:tc>
        <w:tc>
          <w:tcPr>
            <w:tcW w:w="0" w:type="auto"/>
            <w:vAlign w:val="center"/>
            <w:hideMark/>
          </w:tcPr>
          <w:p w:rsidR="006F6339" w:rsidRPr="00DF464D" w:rsidRDefault="006F6339" w:rsidP="00DF464D">
            <w:pPr>
              <w:pStyle w:val="NormalWeb"/>
              <w:rPr>
                <w:b/>
              </w:rPr>
            </w:pPr>
            <w:r w:rsidRPr="00DF464D">
              <w:rPr>
                <w:b/>
              </w:rPr>
              <w:t xml:space="preserve">Proportion of </w:t>
            </w:r>
            <w:r w:rsidRPr="00DF464D">
              <w:rPr>
                <w:rStyle w:val="hi"/>
                <w:b/>
              </w:rPr>
              <w:t>Universal Credit</w:t>
            </w:r>
            <w:r w:rsidRPr="00DF464D">
              <w:rPr>
                <w:b/>
              </w:rPr>
              <w:t xml:space="preserve"> </w:t>
            </w:r>
            <w:r w:rsidR="00DF464D">
              <w:rPr>
                <w:b/>
              </w:rPr>
              <w:t>claims subject to d</w:t>
            </w:r>
            <w:r w:rsidRPr="00DF464D">
              <w:rPr>
                <w:b/>
              </w:rPr>
              <w:t>eduction</w:t>
            </w:r>
          </w:p>
        </w:tc>
        <w:tc>
          <w:tcPr>
            <w:tcW w:w="0" w:type="auto"/>
            <w:vAlign w:val="center"/>
            <w:hideMark/>
          </w:tcPr>
          <w:p w:rsidR="006F6339" w:rsidRPr="00DF464D" w:rsidRDefault="006F6339" w:rsidP="00DF464D">
            <w:pPr>
              <w:pStyle w:val="NormalWeb"/>
              <w:rPr>
                <w:b/>
              </w:rPr>
            </w:pPr>
            <w:r w:rsidRPr="00DF464D">
              <w:rPr>
                <w:b/>
              </w:rPr>
              <w:t xml:space="preserve">Total </w:t>
            </w:r>
            <w:r w:rsidR="00DF464D">
              <w:rPr>
                <w:b/>
              </w:rPr>
              <w:t>amount d</w:t>
            </w:r>
            <w:r w:rsidRPr="00DF464D">
              <w:rPr>
                <w:b/>
              </w:rPr>
              <w:t>educted</w:t>
            </w:r>
          </w:p>
        </w:tc>
        <w:tc>
          <w:tcPr>
            <w:tcW w:w="0" w:type="auto"/>
            <w:vAlign w:val="center"/>
            <w:hideMark/>
          </w:tcPr>
          <w:p w:rsidR="006F6339" w:rsidRPr="00DF464D" w:rsidRDefault="00DF464D">
            <w:pPr>
              <w:pStyle w:val="NormalWeb"/>
              <w:rPr>
                <w:b/>
              </w:rPr>
            </w:pPr>
            <w:r>
              <w:rPr>
                <w:b/>
              </w:rPr>
              <w:t>Average deduction a</w:t>
            </w:r>
            <w:r w:rsidR="006F6339" w:rsidRPr="00DF464D">
              <w:rPr>
                <w:b/>
              </w:rPr>
              <w:t>mount</w:t>
            </w:r>
          </w:p>
        </w:tc>
      </w:tr>
      <w:tr w:rsidR="006F6339" w:rsidTr="006F6339">
        <w:trPr>
          <w:tblCellSpacing w:w="15" w:type="dxa"/>
        </w:trPr>
        <w:tc>
          <w:tcPr>
            <w:tcW w:w="0" w:type="auto"/>
            <w:vAlign w:val="center"/>
            <w:hideMark/>
          </w:tcPr>
          <w:p w:rsidR="006F6339" w:rsidRPr="00DF464D" w:rsidRDefault="006F6339">
            <w:pPr>
              <w:pStyle w:val="NormalWeb"/>
              <w:rPr>
                <w:b/>
              </w:rPr>
            </w:pPr>
            <w:r w:rsidRPr="00DF464D">
              <w:rPr>
                <w:b/>
              </w:rPr>
              <w:t>Claims with deduction for an advance</w:t>
            </w:r>
          </w:p>
        </w:tc>
        <w:tc>
          <w:tcPr>
            <w:tcW w:w="0" w:type="auto"/>
            <w:vAlign w:val="center"/>
            <w:hideMark/>
          </w:tcPr>
          <w:p w:rsidR="006F6339" w:rsidRDefault="006F6339">
            <w:pPr>
              <w:pStyle w:val="NormalWeb"/>
            </w:pPr>
            <w:r>
              <w:t>2,400,000</w:t>
            </w:r>
          </w:p>
        </w:tc>
        <w:tc>
          <w:tcPr>
            <w:tcW w:w="0" w:type="auto"/>
            <w:vAlign w:val="center"/>
            <w:hideMark/>
          </w:tcPr>
          <w:p w:rsidR="006F6339" w:rsidRDefault="006F6339">
            <w:pPr>
              <w:pStyle w:val="NormalWeb"/>
            </w:pPr>
            <w:r>
              <w:t>38%</w:t>
            </w:r>
          </w:p>
        </w:tc>
        <w:tc>
          <w:tcPr>
            <w:tcW w:w="0" w:type="auto"/>
            <w:vAlign w:val="center"/>
            <w:hideMark/>
          </w:tcPr>
          <w:p w:rsidR="006F6339" w:rsidRDefault="006F6339">
            <w:pPr>
              <w:pStyle w:val="NormalWeb"/>
            </w:pPr>
            <w:r>
              <w:t>£690,000,000</w:t>
            </w:r>
          </w:p>
        </w:tc>
        <w:tc>
          <w:tcPr>
            <w:tcW w:w="0" w:type="auto"/>
            <w:vAlign w:val="center"/>
            <w:hideMark/>
          </w:tcPr>
          <w:p w:rsidR="006F6339" w:rsidRDefault="006F6339">
            <w:pPr>
              <w:pStyle w:val="NormalWeb"/>
            </w:pPr>
            <w:r>
              <w:t>£40</w:t>
            </w:r>
          </w:p>
        </w:tc>
      </w:tr>
      <w:tr w:rsidR="006F6339" w:rsidTr="006F6339">
        <w:trPr>
          <w:tblCellSpacing w:w="15" w:type="dxa"/>
        </w:trPr>
        <w:tc>
          <w:tcPr>
            <w:tcW w:w="0" w:type="auto"/>
            <w:vAlign w:val="center"/>
            <w:hideMark/>
          </w:tcPr>
          <w:p w:rsidR="006F6339" w:rsidRPr="00DF464D" w:rsidRDefault="006F6339">
            <w:pPr>
              <w:pStyle w:val="NormalWeb"/>
              <w:rPr>
                <w:b/>
              </w:rPr>
            </w:pPr>
            <w:r w:rsidRPr="00DF464D">
              <w:rPr>
                <w:b/>
              </w:rPr>
              <w:t>Claims with deduction for third party</w:t>
            </w:r>
          </w:p>
        </w:tc>
        <w:tc>
          <w:tcPr>
            <w:tcW w:w="0" w:type="auto"/>
            <w:vAlign w:val="center"/>
            <w:hideMark/>
          </w:tcPr>
          <w:p w:rsidR="006F6339" w:rsidRDefault="006F6339">
            <w:pPr>
              <w:pStyle w:val="NormalWeb"/>
            </w:pPr>
            <w:r>
              <w:t>950,000</w:t>
            </w:r>
          </w:p>
        </w:tc>
        <w:tc>
          <w:tcPr>
            <w:tcW w:w="0" w:type="auto"/>
            <w:vAlign w:val="center"/>
            <w:hideMark/>
          </w:tcPr>
          <w:p w:rsidR="006F6339" w:rsidRDefault="006F6339">
            <w:pPr>
              <w:pStyle w:val="NormalWeb"/>
            </w:pPr>
            <w:r>
              <w:t>15%</w:t>
            </w:r>
          </w:p>
        </w:tc>
        <w:tc>
          <w:tcPr>
            <w:tcW w:w="0" w:type="auto"/>
            <w:vAlign w:val="center"/>
            <w:hideMark/>
          </w:tcPr>
          <w:p w:rsidR="006F6339" w:rsidRDefault="006F6339">
            <w:pPr>
              <w:pStyle w:val="NormalWeb"/>
            </w:pPr>
            <w:r>
              <w:t>£227,000,000</w:t>
            </w:r>
          </w:p>
        </w:tc>
        <w:tc>
          <w:tcPr>
            <w:tcW w:w="0" w:type="auto"/>
            <w:vAlign w:val="center"/>
            <w:hideMark/>
          </w:tcPr>
          <w:p w:rsidR="006F6339" w:rsidRDefault="006F6339">
            <w:pPr>
              <w:pStyle w:val="NormalWeb"/>
            </w:pPr>
            <w:r>
              <w:t>£33</w:t>
            </w:r>
          </w:p>
        </w:tc>
      </w:tr>
      <w:tr w:rsidR="006F6339" w:rsidTr="006F6339">
        <w:trPr>
          <w:tblCellSpacing w:w="15" w:type="dxa"/>
        </w:trPr>
        <w:tc>
          <w:tcPr>
            <w:tcW w:w="0" w:type="auto"/>
            <w:vAlign w:val="center"/>
            <w:hideMark/>
          </w:tcPr>
          <w:p w:rsidR="006F6339" w:rsidRPr="00DF464D" w:rsidRDefault="006F6339">
            <w:pPr>
              <w:pStyle w:val="NormalWeb"/>
              <w:rPr>
                <w:b/>
              </w:rPr>
            </w:pPr>
            <w:r w:rsidRPr="00DF464D">
              <w:rPr>
                <w:b/>
              </w:rPr>
              <w:t>Claims with other deductions</w:t>
            </w:r>
          </w:p>
        </w:tc>
        <w:tc>
          <w:tcPr>
            <w:tcW w:w="0" w:type="auto"/>
            <w:vAlign w:val="center"/>
            <w:hideMark/>
          </w:tcPr>
          <w:p w:rsidR="006F6339" w:rsidRDefault="006F6339">
            <w:pPr>
              <w:pStyle w:val="NormalWeb"/>
            </w:pPr>
            <w:r>
              <w:t>2,200,000</w:t>
            </w:r>
          </w:p>
        </w:tc>
        <w:tc>
          <w:tcPr>
            <w:tcW w:w="0" w:type="auto"/>
            <w:vAlign w:val="center"/>
            <w:hideMark/>
          </w:tcPr>
          <w:p w:rsidR="006F6339" w:rsidRDefault="006F6339">
            <w:pPr>
              <w:pStyle w:val="NormalWeb"/>
            </w:pPr>
            <w:r>
              <w:t>34%</w:t>
            </w:r>
          </w:p>
        </w:tc>
        <w:tc>
          <w:tcPr>
            <w:tcW w:w="0" w:type="auto"/>
            <w:vAlign w:val="center"/>
            <w:hideMark/>
          </w:tcPr>
          <w:p w:rsidR="006F6339" w:rsidRDefault="006F6339">
            <w:pPr>
              <w:pStyle w:val="NormalWeb"/>
            </w:pPr>
            <w:r>
              <w:t>£684,000,000</w:t>
            </w:r>
          </w:p>
        </w:tc>
        <w:tc>
          <w:tcPr>
            <w:tcW w:w="0" w:type="auto"/>
            <w:vAlign w:val="center"/>
            <w:hideMark/>
          </w:tcPr>
          <w:p w:rsidR="006F6339" w:rsidRDefault="006F6339">
            <w:pPr>
              <w:pStyle w:val="NormalWeb"/>
            </w:pPr>
            <w:r>
              <w:t>£49</w:t>
            </w:r>
          </w:p>
        </w:tc>
      </w:tr>
      <w:tr w:rsidR="006F6339" w:rsidTr="006F6339">
        <w:trPr>
          <w:tblCellSpacing w:w="15" w:type="dxa"/>
        </w:trPr>
        <w:tc>
          <w:tcPr>
            <w:tcW w:w="0" w:type="auto"/>
            <w:vAlign w:val="center"/>
            <w:hideMark/>
          </w:tcPr>
          <w:p w:rsidR="006F6339" w:rsidRPr="00DF464D" w:rsidRDefault="006F6339">
            <w:pPr>
              <w:pStyle w:val="NormalWeb"/>
              <w:rPr>
                <w:b/>
              </w:rPr>
            </w:pPr>
            <w:r w:rsidRPr="00DF464D">
              <w:rPr>
                <w:b/>
              </w:rPr>
              <w:t>All UC claims with at least one deduction</w:t>
            </w:r>
          </w:p>
        </w:tc>
        <w:tc>
          <w:tcPr>
            <w:tcW w:w="0" w:type="auto"/>
            <w:vAlign w:val="center"/>
            <w:hideMark/>
          </w:tcPr>
          <w:p w:rsidR="006F6339" w:rsidRDefault="006F6339">
            <w:pPr>
              <w:pStyle w:val="NormalWeb"/>
            </w:pPr>
            <w:r>
              <w:t>3,500,000</w:t>
            </w:r>
          </w:p>
        </w:tc>
        <w:tc>
          <w:tcPr>
            <w:tcW w:w="0" w:type="auto"/>
            <w:vAlign w:val="center"/>
            <w:hideMark/>
          </w:tcPr>
          <w:p w:rsidR="006F6339" w:rsidRDefault="006F6339">
            <w:pPr>
              <w:pStyle w:val="NormalWeb"/>
            </w:pPr>
            <w:r>
              <w:t>55%</w:t>
            </w:r>
          </w:p>
        </w:tc>
        <w:tc>
          <w:tcPr>
            <w:tcW w:w="0" w:type="auto"/>
            <w:vAlign w:val="center"/>
            <w:hideMark/>
          </w:tcPr>
          <w:p w:rsidR="006F6339" w:rsidRDefault="006F6339">
            <w:pPr>
              <w:pStyle w:val="NormalWeb"/>
            </w:pPr>
            <w:r>
              <w:t>£1,601,000,000</w:t>
            </w:r>
          </w:p>
        </w:tc>
        <w:tc>
          <w:tcPr>
            <w:tcW w:w="0" w:type="auto"/>
            <w:vAlign w:val="center"/>
            <w:hideMark/>
          </w:tcPr>
          <w:p w:rsidR="006F6339" w:rsidRDefault="006F6339">
            <w:pPr>
              <w:pStyle w:val="NormalWeb"/>
            </w:pPr>
            <w:r>
              <w:t>£62</w:t>
            </w:r>
          </w:p>
        </w:tc>
      </w:tr>
      <w:tr w:rsidR="006F6339" w:rsidTr="006F6339">
        <w:trPr>
          <w:tblCellSpacing w:w="15" w:type="dxa"/>
        </w:trPr>
        <w:tc>
          <w:tcPr>
            <w:tcW w:w="0" w:type="auto"/>
            <w:vAlign w:val="center"/>
            <w:hideMark/>
          </w:tcPr>
          <w:p w:rsidR="006F6339" w:rsidRPr="00B053F2" w:rsidRDefault="006F6339">
            <w:pPr>
              <w:pStyle w:val="NormalWeb"/>
              <w:rPr>
                <w:b/>
              </w:rPr>
            </w:pPr>
            <w:r w:rsidRPr="00B053F2">
              <w:rPr>
                <w:b/>
              </w:rPr>
              <w:t>All UC claims</w:t>
            </w:r>
          </w:p>
        </w:tc>
        <w:tc>
          <w:tcPr>
            <w:tcW w:w="0" w:type="auto"/>
            <w:vAlign w:val="center"/>
            <w:hideMark/>
          </w:tcPr>
          <w:p w:rsidR="006F6339" w:rsidRDefault="006F6339">
            <w:pPr>
              <w:pStyle w:val="NormalWeb"/>
            </w:pPr>
            <w:r>
              <w:t>6,400,000</w:t>
            </w:r>
          </w:p>
        </w:tc>
        <w:tc>
          <w:tcPr>
            <w:tcW w:w="0" w:type="auto"/>
            <w:vAlign w:val="center"/>
            <w:hideMark/>
          </w:tcPr>
          <w:p w:rsidR="006F6339" w:rsidRDefault="006F6339">
            <w:pPr>
              <w:rPr>
                <w:sz w:val="20"/>
                <w:szCs w:val="20"/>
              </w:rPr>
            </w:pPr>
          </w:p>
        </w:tc>
        <w:tc>
          <w:tcPr>
            <w:tcW w:w="0" w:type="auto"/>
            <w:vAlign w:val="center"/>
            <w:hideMark/>
          </w:tcPr>
          <w:p w:rsidR="006F6339" w:rsidRDefault="006F6339">
            <w:pPr>
              <w:rPr>
                <w:sz w:val="20"/>
                <w:szCs w:val="20"/>
              </w:rPr>
            </w:pPr>
          </w:p>
        </w:tc>
        <w:tc>
          <w:tcPr>
            <w:tcW w:w="0" w:type="auto"/>
            <w:vAlign w:val="center"/>
            <w:hideMark/>
          </w:tcPr>
          <w:p w:rsidR="006F6339" w:rsidRDefault="006F6339">
            <w:pPr>
              <w:rPr>
                <w:sz w:val="20"/>
                <w:szCs w:val="20"/>
              </w:rPr>
            </w:pPr>
          </w:p>
        </w:tc>
      </w:tr>
    </w:tbl>
    <w:p w:rsidR="00BA3BB7" w:rsidRDefault="00BA3BB7" w:rsidP="009D1DE0">
      <w:pPr>
        <w:rPr>
          <w:rFonts w:ascii="Times New Roman" w:hAnsi="Times New Roman" w:cs="Times New Roman"/>
          <w:b/>
          <w:bCs/>
          <w:sz w:val="36"/>
          <w:szCs w:val="36"/>
        </w:rPr>
      </w:pPr>
      <w:r>
        <w:rPr>
          <w:rFonts w:ascii="Times New Roman" w:hAnsi="Times New Roman" w:cs="Times New Roman"/>
          <w:b/>
          <w:bCs/>
          <w:sz w:val="36"/>
          <w:szCs w:val="36"/>
        </w:rPr>
        <w:lastRenderedPageBreak/>
        <w:t>No. of children in households subject to UC sanctions</w:t>
      </w:r>
    </w:p>
    <w:p w:rsidR="00BA3BB7" w:rsidRDefault="00BA3BB7" w:rsidP="009D1DE0">
      <w:pPr>
        <w:rPr>
          <w:rFonts w:ascii="Times New Roman" w:hAnsi="Times New Roman" w:cs="Times New Roman"/>
          <w:b/>
          <w:bCs/>
          <w:sz w:val="36"/>
          <w:szCs w:val="36"/>
        </w:rPr>
      </w:pPr>
    </w:p>
    <w:p w:rsidR="00BA3BB7" w:rsidRPr="00BA3BB7" w:rsidRDefault="00BA3BB7" w:rsidP="009D1DE0">
      <w:pPr>
        <w:rPr>
          <w:rFonts w:ascii="Times New Roman" w:hAnsi="Times New Roman" w:cs="Times New Roman"/>
          <w:sz w:val="24"/>
          <w:szCs w:val="24"/>
        </w:rPr>
      </w:pPr>
      <w:r w:rsidRPr="00BA3BB7">
        <w:rPr>
          <w:rFonts w:ascii="Times New Roman" w:hAnsi="Times New Roman" w:cs="Times New Roman"/>
          <w:sz w:val="24"/>
          <w:szCs w:val="24"/>
        </w:rPr>
        <w:t xml:space="preserve">Alex Cunningham MP asked why information on the number of children living in households subject to a </w:t>
      </w:r>
      <w:r w:rsidRPr="00BA3BB7">
        <w:rPr>
          <w:rStyle w:val="hi"/>
          <w:rFonts w:ascii="Times New Roman" w:hAnsi="Times New Roman" w:cs="Times New Roman"/>
          <w:sz w:val="24"/>
          <w:szCs w:val="24"/>
        </w:rPr>
        <w:t>Universal Credit sanction</w:t>
      </w:r>
      <w:r w:rsidRPr="00BA3BB7">
        <w:rPr>
          <w:rFonts w:ascii="Times New Roman" w:hAnsi="Times New Roman" w:cs="Times New Roman"/>
          <w:sz w:val="24"/>
          <w:szCs w:val="24"/>
        </w:rPr>
        <w:t xml:space="preserve"> is not readily available.  Jo Churchill, Minister of State, replied on 21 February as follows:</w:t>
      </w:r>
    </w:p>
    <w:p w:rsidR="00BA3BB7" w:rsidRPr="00BA3BB7" w:rsidRDefault="00BA3BB7" w:rsidP="009D1DE0">
      <w:pPr>
        <w:rPr>
          <w:rFonts w:ascii="Times New Roman" w:hAnsi="Times New Roman" w:cs="Times New Roman"/>
          <w:sz w:val="24"/>
          <w:szCs w:val="24"/>
        </w:rPr>
      </w:pPr>
    </w:p>
    <w:p w:rsidR="00BA3BB7" w:rsidRPr="00BA3BB7" w:rsidRDefault="00BA3BB7" w:rsidP="00BA3BB7">
      <w:pPr>
        <w:ind w:left="567"/>
        <w:rPr>
          <w:rFonts w:ascii="Times New Roman" w:hAnsi="Times New Roman" w:cs="Times New Roman"/>
          <w:b/>
          <w:bCs/>
          <w:sz w:val="24"/>
          <w:szCs w:val="24"/>
        </w:rPr>
      </w:pPr>
      <w:r w:rsidRPr="00BA3BB7">
        <w:rPr>
          <w:rFonts w:ascii="Times New Roman" w:hAnsi="Times New Roman" w:cs="Times New Roman"/>
          <w:sz w:val="24"/>
          <w:szCs w:val="24"/>
        </w:rPr>
        <w:t xml:space="preserve">‘The Department records information on the number of children living in </w:t>
      </w:r>
      <w:hyperlink r:id="rId23" w:history="1">
        <w:r w:rsidRPr="00BA3BB7">
          <w:rPr>
            <w:rStyle w:val="Hyperlink"/>
            <w:rFonts w:ascii="Times New Roman" w:hAnsi="Times New Roman" w:cs="Times New Roman"/>
            <w:color w:val="auto"/>
            <w:sz w:val="24"/>
            <w:szCs w:val="24"/>
            <w:u w:val="none"/>
          </w:rPr>
          <w:t>Universal Credit</w:t>
        </w:r>
      </w:hyperlink>
      <w:r w:rsidRPr="00BA3BB7">
        <w:rPr>
          <w:rFonts w:ascii="Times New Roman" w:hAnsi="Times New Roman" w:cs="Times New Roman"/>
          <w:sz w:val="24"/>
          <w:szCs w:val="24"/>
        </w:rPr>
        <w:t xml:space="preserve"> households and these are published every three months as part of the official </w:t>
      </w:r>
      <w:hyperlink r:id="rId24" w:tgtFrame="_blank" w:history="1">
        <w:r w:rsidRPr="00BA3BB7">
          <w:rPr>
            <w:rStyle w:val="hi"/>
            <w:rFonts w:ascii="Times New Roman" w:hAnsi="Times New Roman" w:cs="Times New Roman"/>
            <w:sz w:val="24"/>
            <w:szCs w:val="24"/>
          </w:rPr>
          <w:t>Universal Credit</w:t>
        </w:r>
        <w:r w:rsidRPr="00BA3BB7">
          <w:rPr>
            <w:rStyle w:val="Hyperlink"/>
            <w:rFonts w:ascii="Times New Roman" w:hAnsi="Times New Roman" w:cs="Times New Roman"/>
            <w:color w:val="auto"/>
            <w:sz w:val="24"/>
            <w:szCs w:val="24"/>
            <w:u w:val="none"/>
          </w:rPr>
          <w:t xml:space="preserve"> statistics</w:t>
        </w:r>
      </w:hyperlink>
      <w:r w:rsidRPr="00BA3BB7">
        <w:rPr>
          <w:rFonts w:ascii="Times New Roman" w:hAnsi="Times New Roman" w:cs="Times New Roman"/>
          <w:sz w:val="24"/>
          <w:szCs w:val="24"/>
        </w:rPr>
        <w:t xml:space="preserve"> (</w:t>
      </w:r>
      <w:hyperlink r:id="rId25" w:history="1">
        <w:r w:rsidRPr="00406ABE">
          <w:rPr>
            <w:rStyle w:val="Hyperlink"/>
            <w:rFonts w:ascii="Times New Roman" w:hAnsi="Times New Roman" w:cs="Times New Roman"/>
            <w:sz w:val="24"/>
            <w:szCs w:val="24"/>
          </w:rPr>
          <w:t>https://www.gov.uk/government/collections/universal-credit-statistics</w:t>
        </w:r>
      </w:hyperlink>
      <w:r>
        <w:rPr>
          <w:rFonts w:ascii="Times New Roman" w:hAnsi="Times New Roman" w:cs="Times New Roman"/>
          <w:sz w:val="24"/>
          <w:szCs w:val="24"/>
        </w:rPr>
        <w:t xml:space="preserve"> </w:t>
      </w:r>
      <w:r w:rsidRPr="00BA3BB7">
        <w:rPr>
          <w:rFonts w:ascii="Times New Roman" w:hAnsi="Times New Roman" w:cs="Times New Roman"/>
          <w:sz w:val="24"/>
          <w:szCs w:val="24"/>
        </w:rPr>
        <w:t xml:space="preserve">). The Department also records information on the number of people who have received a </w:t>
      </w:r>
      <w:r w:rsidRPr="00BA3BB7">
        <w:rPr>
          <w:rStyle w:val="hi"/>
          <w:rFonts w:ascii="Times New Roman" w:hAnsi="Times New Roman" w:cs="Times New Roman"/>
          <w:sz w:val="24"/>
          <w:szCs w:val="24"/>
        </w:rPr>
        <w:t>sanction</w:t>
      </w:r>
      <w:r w:rsidRPr="00BA3BB7">
        <w:rPr>
          <w:rFonts w:ascii="Times New Roman" w:hAnsi="Times New Roman" w:cs="Times New Roman"/>
          <w:sz w:val="24"/>
          <w:szCs w:val="24"/>
        </w:rPr>
        <w:t xml:space="preserve"> on </w:t>
      </w:r>
      <w:r w:rsidRPr="00BA3BB7">
        <w:rPr>
          <w:rStyle w:val="hi"/>
          <w:rFonts w:ascii="Times New Roman" w:hAnsi="Times New Roman" w:cs="Times New Roman"/>
          <w:sz w:val="24"/>
          <w:szCs w:val="24"/>
        </w:rPr>
        <w:t>Universal Credit</w:t>
      </w:r>
      <w:r w:rsidRPr="00BA3BB7">
        <w:rPr>
          <w:rFonts w:ascii="Times New Roman" w:hAnsi="Times New Roman" w:cs="Times New Roman"/>
          <w:sz w:val="24"/>
          <w:szCs w:val="24"/>
        </w:rPr>
        <w:t xml:space="preserve">, and these are published every three months as part of the official </w:t>
      </w:r>
      <w:hyperlink r:id="rId26" w:tgtFrame="_blank" w:history="1">
        <w:r w:rsidRPr="00BA3BB7">
          <w:rPr>
            <w:rStyle w:val="Hyperlink"/>
            <w:rFonts w:ascii="Times New Roman" w:hAnsi="Times New Roman" w:cs="Times New Roman"/>
            <w:color w:val="auto"/>
            <w:sz w:val="24"/>
            <w:szCs w:val="24"/>
            <w:u w:val="none"/>
          </w:rPr>
          <w:t xml:space="preserve">Benefit </w:t>
        </w:r>
        <w:r w:rsidRPr="00BA3BB7">
          <w:rPr>
            <w:rStyle w:val="hi"/>
            <w:rFonts w:ascii="Times New Roman" w:hAnsi="Times New Roman" w:cs="Times New Roman"/>
            <w:sz w:val="24"/>
            <w:szCs w:val="24"/>
          </w:rPr>
          <w:t>Sanctions</w:t>
        </w:r>
        <w:r w:rsidRPr="00BA3BB7">
          <w:rPr>
            <w:rStyle w:val="Hyperlink"/>
            <w:rFonts w:ascii="Times New Roman" w:hAnsi="Times New Roman" w:cs="Times New Roman"/>
            <w:color w:val="auto"/>
            <w:sz w:val="24"/>
            <w:szCs w:val="24"/>
            <w:u w:val="none"/>
          </w:rPr>
          <w:t xml:space="preserve"> Statistics</w:t>
        </w:r>
      </w:hyperlink>
      <w:r w:rsidRPr="00BA3BB7">
        <w:rPr>
          <w:rFonts w:ascii="Times New Roman" w:hAnsi="Times New Roman" w:cs="Times New Roman"/>
          <w:sz w:val="24"/>
          <w:szCs w:val="24"/>
        </w:rPr>
        <w:t xml:space="preserve"> (</w:t>
      </w:r>
      <w:hyperlink r:id="rId27" w:history="1">
        <w:r w:rsidRPr="00406ABE">
          <w:rPr>
            <w:rStyle w:val="Hyperlink"/>
            <w:rFonts w:ascii="Times New Roman" w:hAnsi="Times New Roman" w:cs="Times New Roman"/>
            <w:sz w:val="24"/>
            <w:szCs w:val="24"/>
          </w:rPr>
          <w:t>https://www.gov.uk/government/collections/jobseekers-allowance-sanctions</w:t>
        </w:r>
      </w:hyperlink>
      <w:r>
        <w:rPr>
          <w:rStyle w:val="hi"/>
          <w:rFonts w:ascii="Times New Roman" w:hAnsi="Times New Roman" w:cs="Times New Roman"/>
          <w:sz w:val="24"/>
          <w:szCs w:val="24"/>
        </w:rPr>
        <w:t xml:space="preserve"> </w:t>
      </w:r>
      <w:r w:rsidRPr="00BA3BB7">
        <w:rPr>
          <w:rFonts w:ascii="Times New Roman" w:hAnsi="Times New Roman" w:cs="Times New Roman"/>
          <w:sz w:val="24"/>
          <w:szCs w:val="24"/>
        </w:rPr>
        <w:t>). These statistics are produced using different methodologies and it is not possible to provide appropriately quality assured statistics within the disproportionate cost limit.’</w:t>
      </w:r>
    </w:p>
    <w:p w:rsidR="00BA3BB7" w:rsidRPr="00BA3BB7" w:rsidRDefault="00BA3BB7" w:rsidP="009D1DE0">
      <w:pPr>
        <w:rPr>
          <w:rFonts w:ascii="Times New Roman" w:hAnsi="Times New Roman" w:cs="Times New Roman"/>
          <w:b/>
          <w:bCs/>
          <w:sz w:val="24"/>
          <w:szCs w:val="24"/>
        </w:rPr>
      </w:pPr>
    </w:p>
    <w:p w:rsidR="00BA3BB7" w:rsidRDefault="00BA3BB7" w:rsidP="009D1DE0">
      <w:pPr>
        <w:rPr>
          <w:rFonts w:ascii="Times New Roman" w:hAnsi="Times New Roman" w:cs="Times New Roman"/>
          <w:b/>
          <w:bCs/>
          <w:sz w:val="36"/>
          <w:szCs w:val="36"/>
        </w:rPr>
      </w:pPr>
    </w:p>
    <w:p w:rsidR="00BA3BB7" w:rsidRDefault="00BA3BB7" w:rsidP="009D1DE0">
      <w:pPr>
        <w:rPr>
          <w:rFonts w:ascii="Times New Roman" w:hAnsi="Times New Roman" w:cs="Times New Roman"/>
          <w:b/>
          <w:bCs/>
          <w:sz w:val="36"/>
          <w:szCs w:val="36"/>
        </w:rPr>
      </w:pPr>
    </w:p>
    <w:p w:rsidR="005B1214" w:rsidRDefault="005B1214">
      <w:pPr>
        <w:rPr>
          <w:rFonts w:ascii="Times New Roman" w:hAnsi="Times New Roman" w:cs="Times New Roman"/>
          <w:b/>
          <w:bCs/>
          <w:sz w:val="36"/>
          <w:szCs w:val="36"/>
        </w:rPr>
      </w:pPr>
      <w:r>
        <w:rPr>
          <w:rFonts w:ascii="Times New Roman" w:hAnsi="Times New Roman" w:cs="Times New Roman"/>
          <w:b/>
          <w:bCs/>
          <w:sz w:val="36"/>
          <w:szCs w:val="36"/>
        </w:rPr>
        <w:br w:type="page"/>
      </w:r>
    </w:p>
    <w:p w:rsidR="00E34D6A" w:rsidRPr="00255257" w:rsidRDefault="00E34D6A" w:rsidP="009D1DE0">
      <w:pPr>
        <w:rPr>
          <w:rFonts w:ascii="Times New Roman" w:hAnsi="Times New Roman" w:cs="Times New Roman"/>
          <w:b/>
          <w:bCs/>
          <w:sz w:val="36"/>
          <w:szCs w:val="36"/>
        </w:rPr>
      </w:pPr>
      <w:r w:rsidRPr="00255257">
        <w:rPr>
          <w:rFonts w:ascii="Times New Roman" w:hAnsi="Times New Roman" w:cs="Times New Roman"/>
          <w:b/>
          <w:bCs/>
          <w:sz w:val="36"/>
          <w:szCs w:val="36"/>
        </w:rPr>
        <w:lastRenderedPageBreak/>
        <w:t>SANCTIONS – OTHER DEVELOPMENTS</w:t>
      </w:r>
    </w:p>
    <w:p w:rsidR="003D78C5" w:rsidRDefault="003D78C5" w:rsidP="009D1DE0">
      <w:pPr>
        <w:rPr>
          <w:rFonts w:ascii="Times New Roman" w:hAnsi="Times New Roman" w:cs="Times New Roman"/>
          <w:b/>
          <w:sz w:val="24"/>
          <w:szCs w:val="24"/>
        </w:rPr>
      </w:pPr>
    </w:p>
    <w:p w:rsidR="003D78C5" w:rsidRDefault="003D78C5" w:rsidP="009D1DE0">
      <w:pPr>
        <w:rPr>
          <w:rFonts w:ascii="Times New Roman" w:hAnsi="Times New Roman" w:cs="Times New Roman"/>
          <w:b/>
          <w:sz w:val="24"/>
          <w:szCs w:val="24"/>
        </w:rPr>
      </w:pPr>
    </w:p>
    <w:p w:rsidR="009A137B" w:rsidRPr="0056781F" w:rsidRDefault="009A137B" w:rsidP="009A137B">
      <w:pPr>
        <w:rPr>
          <w:rFonts w:ascii="Times New Roman" w:hAnsi="Times New Roman" w:cs="Times New Roman"/>
          <w:b/>
          <w:sz w:val="24"/>
          <w:szCs w:val="24"/>
        </w:rPr>
      </w:pPr>
      <w:r w:rsidRPr="0056781F">
        <w:rPr>
          <w:rFonts w:ascii="Times New Roman" w:hAnsi="Times New Roman" w:cs="Times New Roman"/>
          <w:b/>
          <w:sz w:val="24"/>
          <w:szCs w:val="24"/>
        </w:rPr>
        <w:t>Staffing crisis in Jobcentres</w:t>
      </w:r>
    </w:p>
    <w:p w:rsidR="009A137B" w:rsidRPr="0056781F" w:rsidRDefault="009A137B" w:rsidP="009A137B">
      <w:pPr>
        <w:rPr>
          <w:rFonts w:ascii="Times New Roman" w:hAnsi="Times New Roman" w:cs="Times New Roman"/>
          <w:sz w:val="24"/>
          <w:szCs w:val="24"/>
        </w:rPr>
      </w:pPr>
    </w:p>
    <w:p w:rsidR="009A137B" w:rsidRPr="008E1CB9" w:rsidRDefault="009A137B" w:rsidP="009A137B">
      <w:pPr>
        <w:rPr>
          <w:rFonts w:ascii="Times New Roman" w:hAnsi="Times New Roman" w:cs="Times New Roman"/>
          <w:sz w:val="24"/>
          <w:szCs w:val="24"/>
        </w:rPr>
      </w:pPr>
      <w:r w:rsidRPr="0056781F">
        <w:rPr>
          <w:rFonts w:ascii="Times New Roman" w:hAnsi="Times New Roman" w:cs="Times New Roman"/>
          <w:sz w:val="24"/>
          <w:szCs w:val="24"/>
        </w:rPr>
        <w:t>The November 2023 Briefing, pp.9-10, discussed the staffing crisis in Jobcentres</w:t>
      </w:r>
      <w:r>
        <w:rPr>
          <w:rFonts w:ascii="Times New Roman" w:hAnsi="Times New Roman" w:cs="Times New Roman"/>
          <w:sz w:val="24"/>
          <w:szCs w:val="24"/>
        </w:rPr>
        <w:t xml:space="preserve"> and its effects</w:t>
      </w:r>
      <w:r w:rsidRPr="0056781F">
        <w:rPr>
          <w:rFonts w:ascii="Times New Roman" w:hAnsi="Times New Roman" w:cs="Times New Roman"/>
          <w:sz w:val="24"/>
          <w:szCs w:val="24"/>
        </w:rPr>
        <w:t xml:space="preserve">. The PCS union has since published a report (PCS 2023) giving the personal accounts of </w:t>
      </w:r>
      <w:r>
        <w:rPr>
          <w:rFonts w:ascii="Times New Roman" w:hAnsi="Times New Roman" w:cs="Times New Roman"/>
          <w:sz w:val="24"/>
          <w:szCs w:val="24"/>
        </w:rPr>
        <w:t>50 Jobcentre staff o</w:t>
      </w:r>
      <w:r w:rsidR="00B053F2">
        <w:rPr>
          <w:rFonts w:ascii="Times New Roman" w:hAnsi="Times New Roman" w:cs="Times New Roman"/>
          <w:sz w:val="24"/>
          <w:szCs w:val="24"/>
        </w:rPr>
        <w:t>f</w:t>
      </w:r>
      <w:r>
        <w:rPr>
          <w:rFonts w:ascii="Times New Roman" w:hAnsi="Times New Roman" w:cs="Times New Roman"/>
          <w:sz w:val="24"/>
          <w:szCs w:val="24"/>
        </w:rPr>
        <w:t xml:space="preserve"> the ways this has affected them and their customers. It is reported at </w:t>
      </w:r>
      <w:hyperlink r:id="rId28" w:history="1">
        <w:r w:rsidRPr="00E32B82">
          <w:rPr>
            <w:rStyle w:val="Hyperlink"/>
            <w:rFonts w:ascii="Times New Roman" w:hAnsi="Times New Roman" w:cs="Times New Roman"/>
            <w:sz w:val="24"/>
            <w:szCs w:val="24"/>
          </w:rPr>
          <w:t>https://www.mypcs.pcs.org.uk/s/article/DWP-boss-receives-devastating-dossier-staff-and-services-at-breaking-point</w:t>
        </w:r>
      </w:hyperlink>
      <w:r>
        <w:rPr>
          <w:rFonts w:ascii="Times New Roman" w:hAnsi="Times New Roman" w:cs="Times New Roman"/>
          <w:sz w:val="24"/>
          <w:szCs w:val="24"/>
        </w:rPr>
        <w:t xml:space="preserve">  PCS wrote to the Secretary of State and Permanent Under Secretary in December, as reported at </w:t>
      </w:r>
      <w:hyperlink r:id="rId29" w:history="1">
        <w:r w:rsidRPr="00E32B82">
          <w:rPr>
            <w:rStyle w:val="Hyperlink"/>
            <w:rFonts w:ascii="Times New Roman" w:hAnsi="Times New Roman" w:cs="Times New Roman"/>
            <w:sz w:val="24"/>
            <w:szCs w:val="24"/>
          </w:rPr>
          <w:t>https://www.pcs.org.uk/news-events/news/pcs-calls-urgent-meeting-dwp-over-staffing-crisis</w:t>
        </w:r>
      </w:hyperlink>
      <w:r>
        <w:rPr>
          <w:rFonts w:ascii="Times New Roman" w:hAnsi="Times New Roman" w:cs="Times New Roman"/>
          <w:sz w:val="24"/>
          <w:szCs w:val="24"/>
        </w:rPr>
        <w:t xml:space="preserve"> It also held a large staff meeting on the issue in </w:t>
      </w:r>
      <w:r w:rsidRPr="008E1CB9">
        <w:rPr>
          <w:rFonts w:ascii="Times New Roman" w:hAnsi="Times New Roman" w:cs="Times New Roman"/>
          <w:sz w:val="24"/>
          <w:szCs w:val="24"/>
        </w:rPr>
        <w:t xml:space="preserve">January, reported with more details at </w:t>
      </w:r>
      <w:hyperlink r:id="rId30" w:history="1">
        <w:r w:rsidRPr="008E1CB9">
          <w:rPr>
            <w:rStyle w:val="Hyperlink"/>
            <w:rFonts w:ascii="Times New Roman" w:hAnsi="Times New Roman" w:cs="Times New Roman"/>
            <w:bCs/>
            <w:sz w:val="24"/>
            <w:szCs w:val="24"/>
          </w:rPr>
          <w:t>https://www.pcs.org.uk/news-events/news/dwp-staffing-crisis-meeting-hears-pain-understaffing</w:t>
        </w:r>
      </w:hyperlink>
      <w:r w:rsidRPr="008E1CB9">
        <w:t xml:space="preserve">  </w:t>
      </w:r>
    </w:p>
    <w:p w:rsidR="009A137B" w:rsidRPr="00E122AB" w:rsidRDefault="009A137B" w:rsidP="009A137B">
      <w:pPr>
        <w:rPr>
          <w:rFonts w:ascii="Times New Roman" w:hAnsi="Times New Roman" w:cs="Times New Roman"/>
          <w:sz w:val="24"/>
          <w:szCs w:val="24"/>
        </w:rPr>
      </w:pPr>
    </w:p>
    <w:p w:rsidR="009A137B" w:rsidRPr="00B33458" w:rsidRDefault="009A137B" w:rsidP="009A137B">
      <w:pPr>
        <w:rPr>
          <w:rFonts w:ascii="Times New Roman" w:hAnsi="Times New Roman" w:cs="Times New Roman"/>
          <w:b/>
          <w:sz w:val="24"/>
          <w:szCs w:val="24"/>
        </w:rPr>
      </w:pPr>
      <w:r w:rsidRPr="00B33458">
        <w:rPr>
          <w:rFonts w:ascii="Times New Roman" w:hAnsi="Times New Roman" w:cs="Times New Roman"/>
          <w:b/>
          <w:sz w:val="24"/>
          <w:szCs w:val="24"/>
        </w:rPr>
        <w:t>PQs explaining procedures on sanctioning vulnerable claimants</w:t>
      </w:r>
    </w:p>
    <w:p w:rsidR="009A137B" w:rsidRPr="00B33458" w:rsidRDefault="009A137B" w:rsidP="009A137B">
      <w:pPr>
        <w:rPr>
          <w:rFonts w:ascii="Times New Roman" w:hAnsi="Times New Roman" w:cs="Times New Roman"/>
          <w:sz w:val="24"/>
          <w:szCs w:val="24"/>
        </w:rPr>
      </w:pPr>
    </w:p>
    <w:p w:rsidR="009A137B" w:rsidRPr="00B33458" w:rsidRDefault="009A137B" w:rsidP="009A137B">
      <w:pPr>
        <w:rPr>
          <w:rFonts w:ascii="Times New Roman" w:hAnsi="Times New Roman" w:cs="Times New Roman"/>
          <w:sz w:val="24"/>
          <w:szCs w:val="24"/>
        </w:rPr>
      </w:pPr>
      <w:r w:rsidRPr="00B33458">
        <w:rPr>
          <w:rFonts w:ascii="Times New Roman" w:hAnsi="Times New Roman" w:cs="Times New Roman"/>
          <w:sz w:val="24"/>
          <w:szCs w:val="24"/>
        </w:rPr>
        <w:t xml:space="preserve">Three </w:t>
      </w:r>
      <w:r w:rsidR="00B053F2">
        <w:rPr>
          <w:rFonts w:ascii="Times New Roman" w:hAnsi="Times New Roman" w:cs="Times New Roman"/>
          <w:sz w:val="24"/>
          <w:szCs w:val="24"/>
        </w:rPr>
        <w:t xml:space="preserve">DWP </w:t>
      </w:r>
      <w:r w:rsidRPr="00B33458">
        <w:rPr>
          <w:rFonts w:ascii="Times New Roman" w:hAnsi="Times New Roman" w:cs="Times New Roman"/>
          <w:sz w:val="24"/>
          <w:szCs w:val="24"/>
        </w:rPr>
        <w:t xml:space="preserve">Parliamentary answers on 30 January (two from Jo Churchill, Minister of State, and one from Mims Davies, Parliamentary Under-Secretary) made the same statement about the treatment of vulnerable claimants in relation to sanctions, as follows: </w:t>
      </w:r>
    </w:p>
    <w:p w:rsidR="009A137B" w:rsidRPr="00B33458" w:rsidRDefault="009A137B" w:rsidP="009A137B">
      <w:pPr>
        <w:pStyle w:val="NormalWeb"/>
        <w:ind w:left="567"/>
      </w:pPr>
      <w:r w:rsidRPr="00B33458">
        <w:t xml:space="preserve">‘Those found to have limited capability for work and claimants on work-related benefits are expected to take responsibility for meeting the conditionality requirements they have agreed with their work coach. Where a customer has a health condition, illness or disability, work coaches have the discretion to tailor these requirements to what is reasonable and achievable, taking into account the individual's condition. Additionally, in some circumstances a customer’s work-related requirements may be lifted for a period if their ability to carry them out is disrupted due to their personal circumstances. A </w:t>
      </w:r>
      <w:r w:rsidRPr="00B33458">
        <w:rPr>
          <w:rStyle w:val="hi"/>
        </w:rPr>
        <w:t>sanction</w:t>
      </w:r>
      <w:r w:rsidRPr="00B33458">
        <w:t xml:space="preserve"> is only applied where an individual has failed to meet their agreed conditionality requirements without demonstrating good reason for doing so. In cases where vulnerabilities are known or suspected, a pre-referral quality check is undertaken prior to any </w:t>
      </w:r>
      <w:r w:rsidRPr="00B33458">
        <w:rPr>
          <w:rStyle w:val="hi"/>
        </w:rPr>
        <w:t>sanction</w:t>
      </w:r>
      <w:r w:rsidRPr="00B33458">
        <w:t xml:space="preserve"> referral to ensure that it is appropriate in the circumstances.’</w:t>
      </w:r>
    </w:p>
    <w:p w:rsidR="009A137B" w:rsidRPr="00B33458" w:rsidRDefault="009A137B" w:rsidP="009A137B">
      <w:pPr>
        <w:pStyle w:val="NormalWeb"/>
      </w:pPr>
      <w:r w:rsidRPr="00B33458">
        <w:t xml:space="preserve">This appears to </w:t>
      </w:r>
      <w:r>
        <w:t>mean</w:t>
      </w:r>
      <w:r w:rsidRPr="00B33458">
        <w:t xml:space="preserve"> that if no vulnerability is known or suspected, no assessment is undertaken before a sanction referral is made. This is contrary to the Sanctions Assurance Framework, which was discussed in </w:t>
      </w:r>
      <w:r>
        <w:t>the</w:t>
      </w:r>
      <w:r w:rsidRPr="00B33458">
        <w:t xml:space="preserve"> February 2021 Briefing, pp.6-7. </w:t>
      </w:r>
      <w:r>
        <w:t xml:space="preserve"> </w:t>
      </w:r>
      <w:r w:rsidRPr="00B33458">
        <w:t xml:space="preserve">It had already seemed that the Framework must have been abandoned in order for DWP to be able to impose the sheer number of sanctions seen since the pandemic. This now appears </w:t>
      </w:r>
      <w:proofErr w:type="gramStart"/>
      <w:r w:rsidRPr="00B33458">
        <w:t>confirmed</w:t>
      </w:r>
      <w:proofErr w:type="gramEnd"/>
      <w:r w:rsidRPr="00B33458">
        <w:t>.</w:t>
      </w:r>
    </w:p>
    <w:p w:rsidR="009A137B" w:rsidRPr="00B47E9D" w:rsidRDefault="009A137B" w:rsidP="009A137B">
      <w:pPr>
        <w:rPr>
          <w:rFonts w:ascii="Times New Roman" w:hAnsi="Times New Roman" w:cs="Times New Roman"/>
          <w:b/>
          <w:bCs/>
          <w:sz w:val="24"/>
          <w:szCs w:val="24"/>
        </w:rPr>
      </w:pPr>
      <w:r w:rsidRPr="00B47E9D">
        <w:rPr>
          <w:rFonts w:ascii="Times New Roman" w:hAnsi="Times New Roman" w:cs="Times New Roman"/>
          <w:b/>
          <w:bCs/>
          <w:sz w:val="24"/>
          <w:szCs w:val="24"/>
        </w:rPr>
        <w:t>Sir Stephen Timms on the Autumn Statement</w:t>
      </w:r>
    </w:p>
    <w:p w:rsidR="009A137B" w:rsidRPr="00B47E9D" w:rsidRDefault="009A137B" w:rsidP="009A137B">
      <w:pPr>
        <w:rPr>
          <w:rFonts w:ascii="Times New Roman" w:hAnsi="Times New Roman" w:cs="Times New Roman"/>
          <w:bCs/>
          <w:sz w:val="24"/>
          <w:szCs w:val="24"/>
        </w:rPr>
      </w:pPr>
    </w:p>
    <w:p w:rsidR="009A137B" w:rsidRDefault="009A137B" w:rsidP="009A137B">
      <w:pPr>
        <w:rPr>
          <w:rFonts w:ascii="Times New Roman" w:hAnsi="Times New Roman" w:cs="Times New Roman"/>
          <w:bCs/>
          <w:sz w:val="24"/>
          <w:szCs w:val="24"/>
        </w:rPr>
      </w:pPr>
      <w:r w:rsidRPr="00B47E9D">
        <w:rPr>
          <w:rFonts w:ascii="Times New Roman" w:hAnsi="Times New Roman" w:cs="Times New Roman"/>
          <w:bCs/>
          <w:sz w:val="24"/>
          <w:szCs w:val="24"/>
        </w:rPr>
        <w:t>A useful blog (Timms 2023) dissects the Autumn Statement, pointing out that the sanctions changes will have very little effect on the labour market, while the ‘tough talk’ obscured some useful measures to support people suffering mental or physical ill health.</w:t>
      </w:r>
    </w:p>
    <w:p w:rsidR="00B053F2" w:rsidRDefault="00B053F2" w:rsidP="009A137B">
      <w:pPr>
        <w:rPr>
          <w:rFonts w:ascii="Times New Roman" w:hAnsi="Times New Roman" w:cs="Times New Roman"/>
          <w:b/>
          <w:bCs/>
          <w:sz w:val="24"/>
          <w:szCs w:val="24"/>
        </w:rPr>
      </w:pPr>
    </w:p>
    <w:p w:rsidR="009A137B" w:rsidRPr="00E2610B" w:rsidRDefault="009A137B" w:rsidP="009A137B">
      <w:pPr>
        <w:rPr>
          <w:rFonts w:ascii="Times New Roman" w:hAnsi="Times New Roman" w:cs="Times New Roman"/>
          <w:b/>
          <w:bCs/>
          <w:sz w:val="24"/>
          <w:szCs w:val="24"/>
        </w:rPr>
      </w:pPr>
      <w:r w:rsidRPr="00E2610B">
        <w:rPr>
          <w:rFonts w:ascii="Times New Roman" w:hAnsi="Times New Roman" w:cs="Times New Roman"/>
          <w:b/>
          <w:bCs/>
          <w:sz w:val="24"/>
          <w:szCs w:val="24"/>
        </w:rPr>
        <w:t>House of Commons Work and Pensions Committee Inquiry – Safeguarding Vulnerable Claimants</w:t>
      </w:r>
    </w:p>
    <w:p w:rsidR="009A137B" w:rsidRDefault="009A137B" w:rsidP="009A137B">
      <w:pPr>
        <w:rPr>
          <w:rFonts w:ascii="Times New Roman" w:hAnsi="Times New Roman" w:cs="Times New Roman"/>
          <w:bCs/>
          <w:sz w:val="24"/>
          <w:szCs w:val="24"/>
        </w:rPr>
      </w:pPr>
    </w:p>
    <w:p w:rsidR="009A137B" w:rsidRDefault="009A137B" w:rsidP="009A137B">
      <w:pPr>
        <w:rPr>
          <w:rFonts w:ascii="Times New Roman" w:hAnsi="Times New Roman" w:cs="Times New Roman"/>
          <w:bCs/>
          <w:sz w:val="24"/>
          <w:szCs w:val="24"/>
        </w:rPr>
      </w:pPr>
      <w:r>
        <w:rPr>
          <w:rFonts w:ascii="Times New Roman" w:hAnsi="Times New Roman" w:cs="Times New Roman"/>
          <w:bCs/>
          <w:sz w:val="24"/>
          <w:szCs w:val="24"/>
        </w:rPr>
        <w:lastRenderedPageBreak/>
        <w:t xml:space="preserve">This inquiry is continuing, with further oral evidence sessions on 13 December, 24 January and 7 February. Video and transcripts are available on the </w:t>
      </w:r>
      <w:r w:rsidR="00B053F2">
        <w:rPr>
          <w:rFonts w:ascii="Times New Roman" w:hAnsi="Times New Roman" w:cs="Times New Roman"/>
          <w:bCs/>
          <w:sz w:val="24"/>
          <w:szCs w:val="24"/>
        </w:rPr>
        <w:t xml:space="preserve">Committee </w:t>
      </w:r>
      <w:r>
        <w:rPr>
          <w:rFonts w:ascii="Times New Roman" w:hAnsi="Times New Roman" w:cs="Times New Roman"/>
          <w:bCs/>
          <w:sz w:val="24"/>
          <w:szCs w:val="24"/>
        </w:rPr>
        <w:t>website.</w:t>
      </w:r>
    </w:p>
    <w:p w:rsidR="009A137B" w:rsidRDefault="009A137B" w:rsidP="009A137B">
      <w:pPr>
        <w:rPr>
          <w:rFonts w:ascii="Times New Roman" w:hAnsi="Times New Roman" w:cs="Times New Roman"/>
          <w:bCs/>
          <w:sz w:val="24"/>
          <w:szCs w:val="24"/>
        </w:rPr>
      </w:pPr>
    </w:p>
    <w:p w:rsidR="00E122AB" w:rsidRPr="00E122AB" w:rsidRDefault="00E122AB" w:rsidP="00E122AB">
      <w:pPr>
        <w:rPr>
          <w:rFonts w:ascii="Times New Roman" w:hAnsi="Times New Roman" w:cs="Times New Roman"/>
          <w:b/>
          <w:bCs/>
          <w:sz w:val="24"/>
          <w:szCs w:val="24"/>
        </w:rPr>
      </w:pPr>
      <w:r w:rsidRPr="00E122AB">
        <w:rPr>
          <w:rFonts w:ascii="Times New Roman" w:hAnsi="Times New Roman" w:cs="Times New Roman"/>
          <w:b/>
          <w:bCs/>
          <w:sz w:val="24"/>
          <w:szCs w:val="24"/>
        </w:rPr>
        <w:t>Health Foundation report on working age ill health and inactivity</w:t>
      </w:r>
    </w:p>
    <w:p w:rsidR="00E122AB" w:rsidRPr="000F1FE0" w:rsidRDefault="00E122AB" w:rsidP="00E122AB">
      <w:pPr>
        <w:rPr>
          <w:rFonts w:ascii="Times New Roman" w:hAnsi="Times New Roman" w:cs="Times New Roman"/>
          <w:bCs/>
          <w:sz w:val="24"/>
          <w:szCs w:val="24"/>
        </w:rPr>
      </w:pPr>
    </w:p>
    <w:p w:rsidR="00E122AB" w:rsidRPr="000F1FE0" w:rsidRDefault="00E664F4" w:rsidP="000F1FE0">
      <w:pPr>
        <w:rPr>
          <w:rFonts w:ascii="Times New Roman" w:eastAsia="Times New Roman" w:hAnsi="Times New Roman" w:cs="Times New Roman"/>
          <w:sz w:val="24"/>
          <w:szCs w:val="24"/>
          <w:lang w:eastAsia="en-GB"/>
        </w:rPr>
      </w:pPr>
      <w:hyperlink r:id="rId31" w:history="1">
        <w:r w:rsidR="00372C60" w:rsidRPr="000F1FE0">
          <w:rPr>
            <w:rStyle w:val="Hyperlink"/>
            <w:rFonts w:ascii="Times New Roman" w:hAnsi="Times New Roman" w:cs="Times New Roman"/>
            <w:bCs/>
            <w:sz w:val="24"/>
            <w:szCs w:val="24"/>
            <w:u w:val="none"/>
          </w:rPr>
          <w:t>This</w:t>
        </w:r>
      </w:hyperlink>
      <w:r w:rsidR="00372C60" w:rsidRPr="000F1FE0">
        <w:rPr>
          <w:rFonts w:ascii="Times New Roman" w:hAnsi="Times New Roman" w:cs="Times New Roman"/>
          <w:sz w:val="24"/>
          <w:szCs w:val="24"/>
        </w:rPr>
        <w:t xml:space="preserve"> useful analysis (Health Foundation 2023) once again shows that ill health is a bigger problem for the UK labour market than is unemployment. Since the pandemic, 470,000 more people are out of the workforce on ill-health grounds, and 3.7 million working-age people are in work with a health condition that is ‘work-limiting’</w:t>
      </w:r>
      <w:r w:rsidR="00B053F2">
        <w:rPr>
          <w:rFonts w:ascii="Times New Roman" w:hAnsi="Times New Roman" w:cs="Times New Roman"/>
          <w:sz w:val="24"/>
          <w:szCs w:val="24"/>
        </w:rPr>
        <w:t>. The latter</w:t>
      </w:r>
      <w:r w:rsidR="000F1FE0" w:rsidRPr="000F1FE0">
        <w:rPr>
          <w:rFonts w:ascii="Times New Roman" w:hAnsi="Times New Roman" w:cs="Times New Roman"/>
          <w:sz w:val="24"/>
          <w:szCs w:val="24"/>
        </w:rPr>
        <w:t xml:space="preserve"> figure has increased by 1.4 million over the past decade. </w:t>
      </w:r>
      <w:r w:rsidR="000F1FE0" w:rsidRPr="000F1FE0">
        <w:rPr>
          <w:rFonts w:ascii="Times New Roman" w:eastAsia="Times New Roman" w:hAnsi="Times New Roman" w:cs="Times New Roman"/>
          <w:sz w:val="24"/>
          <w:szCs w:val="24"/>
          <w:lang w:eastAsia="en-GB"/>
        </w:rPr>
        <w:t>The rise in work-limiting conditions is being driven by sharp increases in reported mental ill health, particularly among younger workers. Across the whole workforce, musculoskeletal and cardiovascular conditions remain the most common form of work-limiting health condition. These findings suggest that along with measures to address people leaving the workforce, government and employers need to develop new and better ways to support employees to remain well in work.</w:t>
      </w:r>
    </w:p>
    <w:p w:rsidR="00E122AB" w:rsidRPr="00BE6D4C" w:rsidRDefault="00E122AB" w:rsidP="00E122AB">
      <w:pPr>
        <w:rPr>
          <w:rFonts w:ascii="Times New Roman" w:hAnsi="Times New Roman" w:cs="Times New Roman"/>
          <w:bCs/>
          <w:color w:val="FF0000"/>
          <w:sz w:val="24"/>
          <w:szCs w:val="24"/>
        </w:rPr>
      </w:pPr>
    </w:p>
    <w:p w:rsidR="00E122AB" w:rsidRPr="00BE6D4C" w:rsidRDefault="000F1FE0" w:rsidP="00E122AB">
      <w:pPr>
        <w:rPr>
          <w:rFonts w:ascii="Times New Roman" w:hAnsi="Times New Roman" w:cs="Times New Roman"/>
          <w:b/>
          <w:bCs/>
          <w:sz w:val="24"/>
          <w:szCs w:val="24"/>
        </w:rPr>
      </w:pPr>
      <w:r w:rsidRPr="00BE6D4C">
        <w:rPr>
          <w:rFonts w:ascii="Times New Roman" w:hAnsi="Times New Roman" w:cs="Times New Roman"/>
          <w:b/>
          <w:bCs/>
          <w:sz w:val="24"/>
          <w:szCs w:val="24"/>
        </w:rPr>
        <w:t>The negative impact of benefit conditionality on job quality</w:t>
      </w:r>
    </w:p>
    <w:p w:rsidR="000F1FE0" w:rsidRPr="00BE6D4C" w:rsidRDefault="000F1FE0" w:rsidP="00E122AB">
      <w:pPr>
        <w:rPr>
          <w:rFonts w:ascii="Times New Roman" w:hAnsi="Times New Roman" w:cs="Times New Roman"/>
          <w:bCs/>
          <w:sz w:val="24"/>
          <w:szCs w:val="24"/>
        </w:rPr>
      </w:pPr>
    </w:p>
    <w:p w:rsidR="000F1FE0" w:rsidRPr="00BE6D4C" w:rsidRDefault="000F1FE0" w:rsidP="00E122AB">
      <w:pPr>
        <w:rPr>
          <w:rFonts w:ascii="Times New Roman" w:hAnsi="Times New Roman" w:cs="Times New Roman"/>
          <w:bCs/>
          <w:sz w:val="24"/>
          <w:szCs w:val="24"/>
        </w:rPr>
      </w:pPr>
      <w:r w:rsidRPr="00BE6D4C">
        <w:rPr>
          <w:rFonts w:ascii="Times New Roman" w:hAnsi="Times New Roman" w:cs="Times New Roman"/>
          <w:bCs/>
          <w:sz w:val="24"/>
          <w:szCs w:val="24"/>
        </w:rPr>
        <w:t xml:space="preserve">Part of the reason for the greater ill health of the workforce is the damaging effects of conditionality and sanctions on the nature of jobs. Conditionality promotes bad, health-damaging jobs. This is shown by an important new paper (Jones, Wright &amp; Scullion 2024). </w:t>
      </w:r>
    </w:p>
    <w:p w:rsidR="00E122AB" w:rsidRPr="00BE6D4C" w:rsidRDefault="00E122AB" w:rsidP="00E122AB">
      <w:pPr>
        <w:pStyle w:val="NormalWeb"/>
        <w:spacing w:before="0" w:beforeAutospacing="0" w:after="0" w:afterAutospacing="0"/>
      </w:pPr>
      <w:r w:rsidRPr="00BE6D4C">
        <w:t>Drawing upon analysis of unique data from three waves of qualitative longitudinal interviews with 46 UK social security recipients (133 interviews)</w:t>
      </w:r>
      <w:proofErr w:type="gramStart"/>
      <w:r w:rsidR="00B053F2">
        <w:t>,</w:t>
      </w:r>
      <w:proofErr w:type="gramEnd"/>
      <w:r w:rsidRPr="00BE6D4C">
        <w:t xml:space="preserve"> </w:t>
      </w:r>
      <w:r w:rsidR="000F1FE0" w:rsidRPr="00BE6D4C">
        <w:t>it</w:t>
      </w:r>
      <w:r w:rsidRPr="00BE6D4C">
        <w:t xml:space="preserve"> establish</w:t>
      </w:r>
      <w:r w:rsidR="000F1FE0" w:rsidRPr="00BE6D4C">
        <w:t>es</w:t>
      </w:r>
      <w:r w:rsidRPr="00BE6D4C">
        <w:t xml:space="preserve"> that the impact of welfare conditionality is so substantial that it is no longer adequate to discuss job quality without reference to its interconnections to the welfare system. </w:t>
      </w:r>
      <w:r w:rsidR="000F1FE0" w:rsidRPr="00BE6D4C">
        <w:t>It identifies</w:t>
      </w:r>
      <w:r w:rsidRPr="00BE6D4C">
        <w:t xml:space="preserve"> how conditionality drives welfare recipients’ experience of job quality</w:t>
      </w:r>
      <w:r w:rsidR="000F1FE0" w:rsidRPr="00BE6D4C">
        <w:t>,</w:t>
      </w:r>
      <w:r w:rsidRPr="00BE6D4C">
        <w:t xml:space="preserve"> disempowering and propelling claimants towards inadequate pay, insecurity and poor employment terms, undermining multiple intrinsic characteristics of work and creating what </w:t>
      </w:r>
      <w:r w:rsidR="000F1FE0" w:rsidRPr="00BE6D4C">
        <w:t>it</w:t>
      </w:r>
      <w:r w:rsidRPr="00BE6D4C">
        <w:t xml:space="preserve"> term</w:t>
      </w:r>
      <w:r w:rsidR="000F1FE0" w:rsidRPr="00BE6D4C">
        <w:t>s</w:t>
      </w:r>
      <w:r w:rsidRPr="00BE6D4C">
        <w:t xml:space="preserve"> a new ‘Work–Life–Welfare balance’. Instead of acting as a neutral arbitrator between jobseekers and employers, the welfare system is exposed as complicit in reinforcing one-sided flexibility through one-sided conditionality, by emphasising intensive job-seeking, while leaving poor-quality work provided by employers unchecked.</w:t>
      </w:r>
    </w:p>
    <w:p w:rsidR="00E122AB" w:rsidRPr="00BE6D4C" w:rsidRDefault="00E122AB" w:rsidP="00E122AB">
      <w:pPr>
        <w:pStyle w:val="NormalWeb"/>
        <w:spacing w:before="0" w:beforeAutospacing="0" w:after="0" w:afterAutospacing="0"/>
      </w:pPr>
    </w:p>
    <w:p w:rsidR="00E122AB" w:rsidRDefault="00BE6D4C" w:rsidP="00E122AB">
      <w:pPr>
        <w:pStyle w:val="NormalWeb"/>
        <w:spacing w:before="0" w:beforeAutospacing="0" w:after="0" w:afterAutospacing="0"/>
      </w:pPr>
      <w:r w:rsidRPr="00BE6D4C">
        <w:t xml:space="preserve">The paper is being followed up with a </w:t>
      </w:r>
      <w:r w:rsidR="00E122AB" w:rsidRPr="00BE6D4C">
        <w:t>conference</w:t>
      </w:r>
      <w:r w:rsidRPr="00BE6D4C">
        <w:t xml:space="preserve"> </w:t>
      </w:r>
      <w:r w:rsidRPr="00BE6D4C">
        <w:rPr>
          <w:i/>
        </w:rPr>
        <w:t>From Work First to Good Work: Supporting people into good jobs, not just any jobs</w:t>
      </w:r>
      <w:r w:rsidRPr="00BE6D4C">
        <w:t xml:space="preserve"> at Manchester Metropolitan University on 10 April: details </w:t>
      </w:r>
      <w:r w:rsidR="00B053F2">
        <w:t xml:space="preserve">are </w:t>
      </w:r>
      <w:r w:rsidRPr="00BE6D4C">
        <w:t xml:space="preserve">at </w:t>
      </w:r>
      <w:hyperlink r:id="rId32" w:history="1">
        <w:r w:rsidRPr="00E32B82">
          <w:rPr>
            <w:rStyle w:val="Hyperlink"/>
          </w:rPr>
          <w:t>https://www.eventbrite.co.uk/e/from-work-first-to-good-work-supporting-people-into-good-jobs-tickets-802862341877</w:t>
        </w:r>
      </w:hyperlink>
    </w:p>
    <w:p w:rsidR="00BE6D4C" w:rsidRPr="005D64E2" w:rsidRDefault="00BE6D4C" w:rsidP="00E122AB">
      <w:pPr>
        <w:pStyle w:val="NormalWeb"/>
        <w:spacing w:before="0" w:beforeAutospacing="0" w:after="0" w:afterAutospacing="0"/>
      </w:pPr>
    </w:p>
    <w:p w:rsidR="007113C8" w:rsidRDefault="007113C8" w:rsidP="005D64E2">
      <w:pPr>
        <w:rPr>
          <w:rFonts w:ascii="Times New Roman" w:hAnsi="Times New Roman" w:cs="Times New Roman"/>
          <w:b/>
          <w:bCs/>
          <w:sz w:val="24"/>
          <w:szCs w:val="24"/>
        </w:rPr>
      </w:pPr>
      <w:r>
        <w:rPr>
          <w:rFonts w:ascii="Times New Roman" w:hAnsi="Times New Roman" w:cs="Times New Roman"/>
          <w:b/>
          <w:bCs/>
          <w:sz w:val="24"/>
          <w:szCs w:val="24"/>
        </w:rPr>
        <w:t>DWP research report on the employment impact of UC on lone parents</w:t>
      </w:r>
    </w:p>
    <w:p w:rsidR="007113C8" w:rsidRPr="007113C8" w:rsidRDefault="007113C8" w:rsidP="005D64E2">
      <w:pPr>
        <w:rPr>
          <w:rFonts w:ascii="Times New Roman" w:hAnsi="Times New Roman" w:cs="Times New Roman"/>
          <w:bCs/>
          <w:sz w:val="24"/>
          <w:szCs w:val="24"/>
        </w:rPr>
      </w:pPr>
    </w:p>
    <w:p w:rsidR="007113C8" w:rsidRPr="007113C8" w:rsidRDefault="007113C8" w:rsidP="007113C8">
      <w:pPr>
        <w:rPr>
          <w:rFonts w:ascii="Times New Roman" w:hAnsi="Times New Roman" w:cs="Times New Roman"/>
          <w:bCs/>
          <w:sz w:val="24"/>
          <w:szCs w:val="24"/>
        </w:rPr>
      </w:pPr>
      <w:r w:rsidRPr="007113C8">
        <w:rPr>
          <w:rFonts w:ascii="Times New Roman" w:hAnsi="Times New Roman" w:cs="Times New Roman"/>
          <w:bCs/>
          <w:sz w:val="24"/>
          <w:szCs w:val="24"/>
        </w:rPr>
        <w:t>DWP published this report (DWP 2024) on 22 February</w:t>
      </w:r>
      <w:r>
        <w:rPr>
          <w:rFonts w:ascii="Times New Roman" w:hAnsi="Times New Roman" w:cs="Times New Roman"/>
          <w:bCs/>
          <w:sz w:val="24"/>
          <w:szCs w:val="24"/>
        </w:rPr>
        <w:t xml:space="preserve">. The main finding is that </w:t>
      </w:r>
      <w:r w:rsidRPr="007113C8">
        <w:rPr>
          <w:rFonts w:ascii="Times New Roman" w:hAnsi="Times New Roman" w:cs="Times New Roman"/>
          <w:bCs/>
          <w:sz w:val="24"/>
          <w:szCs w:val="24"/>
        </w:rPr>
        <w:t>single parents on Universal Credit are 5 percentage points</w:t>
      </w:r>
      <w:r>
        <w:rPr>
          <w:rFonts w:ascii="Times New Roman" w:hAnsi="Times New Roman" w:cs="Times New Roman"/>
          <w:bCs/>
          <w:sz w:val="24"/>
          <w:szCs w:val="24"/>
        </w:rPr>
        <w:t xml:space="preserve"> </w:t>
      </w:r>
      <w:r w:rsidRPr="007113C8">
        <w:rPr>
          <w:rFonts w:ascii="Times New Roman" w:hAnsi="Times New Roman" w:cs="Times New Roman"/>
          <w:bCs/>
          <w:sz w:val="24"/>
          <w:szCs w:val="24"/>
        </w:rPr>
        <w:t>more likely to have been in work within 6 months of making their claim compared to</w:t>
      </w:r>
      <w:r>
        <w:rPr>
          <w:rFonts w:ascii="Times New Roman" w:hAnsi="Times New Roman" w:cs="Times New Roman"/>
          <w:bCs/>
          <w:sz w:val="24"/>
          <w:szCs w:val="24"/>
        </w:rPr>
        <w:t xml:space="preserve"> </w:t>
      </w:r>
      <w:r w:rsidRPr="007113C8">
        <w:rPr>
          <w:rFonts w:ascii="Times New Roman" w:hAnsi="Times New Roman" w:cs="Times New Roman"/>
          <w:bCs/>
          <w:sz w:val="24"/>
          <w:szCs w:val="24"/>
        </w:rPr>
        <w:t xml:space="preserve">being on legacy benefits. </w:t>
      </w:r>
      <w:r w:rsidRPr="007113C8">
        <w:rPr>
          <w:rFonts w:ascii="Times New Roman" w:hAnsi="Times New Roman" w:cs="Times New Roman"/>
          <w:bCs/>
          <w:sz w:val="24"/>
          <w:szCs w:val="24"/>
        </w:rPr>
        <w:t xml:space="preserve"> </w:t>
      </w:r>
      <w:r>
        <w:rPr>
          <w:rFonts w:ascii="Times New Roman" w:hAnsi="Times New Roman" w:cs="Times New Roman"/>
          <w:bCs/>
          <w:sz w:val="24"/>
          <w:szCs w:val="24"/>
        </w:rPr>
        <w:t>It is too early for any critical appraisals of this work to be available. But the focus of the report is very narrow and it needs to be read in the context of earlier work taking a wider and more critical approach to the benefits and costs of increased employment for lone parents. Recent such studies were noted in the Briefings for February 2023, pp.12-13, and May 2023, p.10.</w:t>
      </w:r>
    </w:p>
    <w:p w:rsidR="007113C8" w:rsidRPr="007113C8" w:rsidRDefault="007113C8" w:rsidP="005D64E2">
      <w:pPr>
        <w:rPr>
          <w:rFonts w:ascii="Times New Roman" w:hAnsi="Times New Roman" w:cs="Times New Roman"/>
          <w:bCs/>
          <w:sz w:val="24"/>
          <w:szCs w:val="24"/>
        </w:rPr>
      </w:pPr>
    </w:p>
    <w:p w:rsidR="005B1214" w:rsidRDefault="005B1214" w:rsidP="005D64E2">
      <w:pPr>
        <w:rPr>
          <w:rFonts w:ascii="Times New Roman" w:hAnsi="Times New Roman" w:cs="Times New Roman"/>
          <w:b/>
          <w:bCs/>
          <w:sz w:val="24"/>
          <w:szCs w:val="24"/>
        </w:rPr>
      </w:pPr>
    </w:p>
    <w:p w:rsidR="005B1214" w:rsidRDefault="005B1214" w:rsidP="005D64E2">
      <w:pPr>
        <w:rPr>
          <w:rFonts w:ascii="Times New Roman" w:hAnsi="Times New Roman" w:cs="Times New Roman"/>
          <w:b/>
          <w:bCs/>
          <w:sz w:val="24"/>
          <w:szCs w:val="24"/>
        </w:rPr>
      </w:pPr>
    </w:p>
    <w:p w:rsidR="005D64E2" w:rsidRPr="005D64E2" w:rsidRDefault="005D64E2" w:rsidP="005D64E2">
      <w:pPr>
        <w:rPr>
          <w:rFonts w:ascii="Times New Roman" w:hAnsi="Times New Roman" w:cs="Times New Roman"/>
          <w:b/>
          <w:bCs/>
          <w:sz w:val="24"/>
          <w:szCs w:val="24"/>
        </w:rPr>
      </w:pPr>
      <w:r w:rsidRPr="005D64E2">
        <w:rPr>
          <w:rFonts w:ascii="Times New Roman" w:hAnsi="Times New Roman" w:cs="Times New Roman"/>
          <w:b/>
          <w:bCs/>
          <w:sz w:val="24"/>
          <w:szCs w:val="24"/>
        </w:rPr>
        <w:lastRenderedPageBreak/>
        <w:t>Women and Welfare Conditionality</w:t>
      </w:r>
    </w:p>
    <w:p w:rsidR="005D64E2" w:rsidRPr="005D64E2" w:rsidRDefault="005D64E2" w:rsidP="005D64E2">
      <w:pPr>
        <w:rPr>
          <w:rFonts w:ascii="Times New Roman" w:hAnsi="Times New Roman" w:cs="Times New Roman"/>
          <w:bCs/>
          <w:sz w:val="24"/>
          <w:szCs w:val="24"/>
        </w:rPr>
      </w:pPr>
    </w:p>
    <w:p w:rsidR="005D64E2" w:rsidRPr="005D64E2" w:rsidRDefault="005D64E2" w:rsidP="005D64E2">
      <w:pPr>
        <w:rPr>
          <w:rFonts w:ascii="Times New Roman" w:hAnsi="Times New Roman" w:cs="Times New Roman"/>
          <w:bCs/>
          <w:sz w:val="24"/>
          <w:szCs w:val="24"/>
        </w:rPr>
      </w:pPr>
      <w:r w:rsidRPr="005D64E2">
        <w:rPr>
          <w:rFonts w:ascii="Times New Roman" w:hAnsi="Times New Roman" w:cs="Times New Roman"/>
          <w:bCs/>
          <w:sz w:val="24"/>
          <w:szCs w:val="24"/>
        </w:rPr>
        <w:t>A new book (Wright 2023) considers the gendered nature of the conditionality regime, looking at how w</w:t>
      </w:r>
      <w:r w:rsidRPr="005D64E2">
        <w:rPr>
          <w:rFonts w:ascii="Times New Roman" w:hAnsi="Times New Roman" w:cs="Times New Roman"/>
          <w:sz w:val="24"/>
          <w:szCs w:val="24"/>
        </w:rPr>
        <w:t>omen and children are disciplined for violating male-defined work norms</w:t>
      </w:r>
      <w:r w:rsidR="00B053F2">
        <w:rPr>
          <w:rFonts w:ascii="Times New Roman" w:hAnsi="Times New Roman" w:cs="Times New Roman"/>
          <w:sz w:val="24"/>
          <w:szCs w:val="24"/>
        </w:rPr>
        <w:t>.</w:t>
      </w:r>
    </w:p>
    <w:p w:rsidR="005D64E2" w:rsidRPr="005D64E2" w:rsidRDefault="005D64E2" w:rsidP="005D64E2">
      <w:pPr>
        <w:rPr>
          <w:rFonts w:ascii="Times New Roman" w:hAnsi="Times New Roman" w:cs="Times New Roman"/>
          <w:bCs/>
          <w:sz w:val="24"/>
          <w:szCs w:val="24"/>
        </w:rPr>
      </w:pPr>
    </w:p>
    <w:p w:rsidR="00BE6D4C" w:rsidRPr="007305BA" w:rsidRDefault="007305BA" w:rsidP="00E122AB">
      <w:pPr>
        <w:pStyle w:val="NormalWeb"/>
        <w:spacing w:before="0" w:beforeAutospacing="0" w:after="0" w:afterAutospacing="0"/>
        <w:rPr>
          <w:b/>
        </w:rPr>
      </w:pPr>
      <w:r w:rsidRPr="007305BA">
        <w:rPr>
          <w:b/>
        </w:rPr>
        <w:t xml:space="preserve">Rowntree on UK Poverty </w:t>
      </w:r>
    </w:p>
    <w:p w:rsidR="007305BA" w:rsidRDefault="007305BA" w:rsidP="00E122AB">
      <w:pPr>
        <w:pStyle w:val="NormalWeb"/>
        <w:spacing w:before="0" w:beforeAutospacing="0" w:after="0" w:afterAutospacing="0"/>
      </w:pPr>
    </w:p>
    <w:p w:rsidR="007305BA" w:rsidRPr="005D64E2" w:rsidRDefault="007305BA" w:rsidP="00E122AB">
      <w:pPr>
        <w:pStyle w:val="NormalWeb"/>
        <w:spacing w:before="0" w:beforeAutospacing="0" w:after="0" w:afterAutospacing="0"/>
      </w:pPr>
      <w:r>
        <w:t>The latest Rowntree report on poverty in the UK (Joseph Rowntree Foundation 2024) includes the role of benefit sanctions.</w:t>
      </w:r>
    </w:p>
    <w:p w:rsidR="00143CFC" w:rsidRPr="005D64E2" w:rsidRDefault="00143CFC" w:rsidP="009D1DE0">
      <w:pPr>
        <w:rPr>
          <w:rFonts w:ascii="Times New Roman" w:hAnsi="Times New Roman" w:cs="Times New Roman"/>
          <w:sz w:val="24"/>
          <w:szCs w:val="24"/>
        </w:rPr>
      </w:pPr>
    </w:p>
    <w:p w:rsidR="00CC06E2" w:rsidRPr="00CC06E2" w:rsidRDefault="00CC06E2" w:rsidP="009D1DE0">
      <w:pPr>
        <w:rPr>
          <w:rFonts w:ascii="Times New Roman" w:hAnsi="Times New Roman" w:cs="Times New Roman"/>
          <w:b/>
          <w:bCs/>
          <w:sz w:val="24"/>
          <w:szCs w:val="24"/>
        </w:rPr>
      </w:pPr>
      <w:r w:rsidRPr="00CC06E2">
        <w:rPr>
          <w:rFonts w:ascii="Times New Roman" w:hAnsi="Times New Roman" w:cs="Times New Roman"/>
          <w:b/>
          <w:bCs/>
          <w:sz w:val="24"/>
          <w:szCs w:val="24"/>
        </w:rPr>
        <w:t>Publication of ONS labour market data resumed but ‘transformed’ Labour Force Survey postponed to September</w:t>
      </w:r>
    </w:p>
    <w:p w:rsidR="00CC06E2" w:rsidRPr="00CC06E2" w:rsidRDefault="00CC06E2" w:rsidP="009D1DE0">
      <w:pPr>
        <w:rPr>
          <w:rFonts w:ascii="Times New Roman" w:hAnsi="Times New Roman" w:cs="Times New Roman"/>
          <w:bCs/>
          <w:sz w:val="24"/>
          <w:szCs w:val="24"/>
        </w:rPr>
      </w:pPr>
    </w:p>
    <w:p w:rsidR="00CC06E2" w:rsidRPr="00CC06E2" w:rsidRDefault="00CC06E2" w:rsidP="009D1DE0">
      <w:pPr>
        <w:rPr>
          <w:rFonts w:ascii="Times New Roman" w:hAnsi="Times New Roman" w:cs="Times New Roman"/>
          <w:bCs/>
          <w:sz w:val="24"/>
          <w:szCs w:val="24"/>
        </w:rPr>
      </w:pPr>
      <w:r w:rsidRPr="00CC06E2">
        <w:rPr>
          <w:rFonts w:ascii="Times New Roman" w:hAnsi="Times New Roman" w:cs="Times New Roman"/>
          <w:bCs/>
          <w:sz w:val="24"/>
          <w:szCs w:val="24"/>
        </w:rPr>
        <w:t xml:space="preserve">The November 2023 Briefing (p.12) reported on the suspension of labour market statistics derived from the Labour Force Survey, due to its fallen response rates. The </w:t>
      </w:r>
      <w:r w:rsidRPr="00CC06E2">
        <w:rPr>
          <w:rFonts w:ascii="Times New Roman" w:hAnsi="Times New Roman" w:cs="Times New Roman"/>
          <w:bCs/>
          <w:i/>
          <w:sz w:val="24"/>
          <w:szCs w:val="24"/>
        </w:rPr>
        <w:t>Financial Times</w:t>
      </w:r>
      <w:r w:rsidRPr="00CC06E2">
        <w:rPr>
          <w:rFonts w:ascii="Times New Roman" w:hAnsi="Times New Roman" w:cs="Times New Roman"/>
          <w:bCs/>
          <w:sz w:val="24"/>
          <w:szCs w:val="24"/>
        </w:rPr>
        <w:t xml:space="preserve"> reported on 13 February (p.2) that publication has resumed following reweighting with new population data, but that </w:t>
      </w:r>
      <w:r>
        <w:rPr>
          <w:rFonts w:ascii="Times New Roman" w:hAnsi="Times New Roman" w:cs="Times New Roman"/>
          <w:bCs/>
          <w:sz w:val="24"/>
          <w:szCs w:val="24"/>
        </w:rPr>
        <w:t>r</w:t>
      </w:r>
      <w:r w:rsidRPr="00CC06E2">
        <w:rPr>
          <w:rFonts w:ascii="Times New Roman" w:hAnsi="Times New Roman" w:cs="Times New Roman"/>
          <w:bCs/>
          <w:sz w:val="24"/>
          <w:szCs w:val="24"/>
        </w:rPr>
        <w:t xml:space="preserve">eliability is unknown. Publication of data derived from the new ‘transformed’ Labour Force Survey, intended to deal with the difficulties, has been postponed </w:t>
      </w:r>
      <w:r>
        <w:rPr>
          <w:rFonts w:ascii="Times New Roman" w:hAnsi="Times New Roman" w:cs="Times New Roman"/>
          <w:bCs/>
          <w:sz w:val="24"/>
          <w:szCs w:val="24"/>
        </w:rPr>
        <w:t xml:space="preserve">from </w:t>
      </w:r>
      <w:proofErr w:type="gramStart"/>
      <w:r>
        <w:rPr>
          <w:rFonts w:ascii="Times New Roman" w:hAnsi="Times New Roman" w:cs="Times New Roman"/>
          <w:bCs/>
          <w:sz w:val="24"/>
          <w:szCs w:val="24"/>
        </w:rPr>
        <w:t>Spring</w:t>
      </w:r>
      <w:proofErr w:type="gramEnd"/>
      <w:r>
        <w:rPr>
          <w:rFonts w:ascii="Times New Roman" w:hAnsi="Times New Roman" w:cs="Times New Roman"/>
          <w:bCs/>
          <w:sz w:val="24"/>
          <w:szCs w:val="24"/>
        </w:rPr>
        <w:t xml:space="preserve"> </w:t>
      </w:r>
      <w:r w:rsidRPr="00CC06E2">
        <w:rPr>
          <w:rFonts w:ascii="Times New Roman" w:hAnsi="Times New Roman" w:cs="Times New Roman"/>
          <w:bCs/>
          <w:sz w:val="24"/>
          <w:szCs w:val="24"/>
        </w:rPr>
        <w:t>to September.</w:t>
      </w:r>
      <w:r w:rsidR="009A3FE1">
        <w:rPr>
          <w:rFonts w:ascii="Times New Roman" w:hAnsi="Times New Roman" w:cs="Times New Roman"/>
          <w:bCs/>
          <w:sz w:val="24"/>
          <w:szCs w:val="24"/>
        </w:rPr>
        <w:t xml:space="preserve"> A further FT article on 21 February, p.3, explained the history of the current problems in some detail.</w:t>
      </w:r>
    </w:p>
    <w:p w:rsidR="00CC06E2" w:rsidRPr="00CC06E2" w:rsidRDefault="00CC06E2" w:rsidP="009D1DE0">
      <w:pPr>
        <w:rPr>
          <w:rFonts w:ascii="Times New Roman" w:hAnsi="Times New Roman" w:cs="Times New Roman"/>
          <w:bCs/>
          <w:sz w:val="24"/>
          <w:szCs w:val="24"/>
        </w:rPr>
      </w:pPr>
    </w:p>
    <w:p w:rsidR="00520DB1" w:rsidRDefault="00520DB1">
      <w:pPr>
        <w:rPr>
          <w:rFonts w:ascii="Times New Roman" w:hAnsi="Times New Roman" w:cs="Times New Roman"/>
          <w:b/>
          <w:bCs/>
          <w:sz w:val="28"/>
          <w:szCs w:val="28"/>
        </w:rPr>
      </w:pPr>
    </w:p>
    <w:p w:rsidR="00520DB1" w:rsidRDefault="00520DB1">
      <w:pPr>
        <w:rPr>
          <w:rFonts w:ascii="Times New Roman" w:hAnsi="Times New Roman" w:cs="Times New Roman"/>
          <w:b/>
          <w:bCs/>
          <w:sz w:val="28"/>
          <w:szCs w:val="28"/>
        </w:rPr>
      </w:pPr>
    </w:p>
    <w:p w:rsidR="00520DB1" w:rsidRDefault="00520DB1">
      <w:pPr>
        <w:rPr>
          <w:rFonts w:ascii="Times New Roman" w:hAnsi="Times New Roman" w:cs="Times New Roman"/>
          <w:b/>
          <w:bCs/>
          <w:sz w:val="28"/>
          <w:szCs w:val="28"/>
        </w:rPr>
      </w:pPr>
    </w:p>
    <w:p w:rsidR="00660A39" w:rsidRDefault="00660A39">
      <w:pPr>
        <w:rPr>
          <w:rFonts w:ascii="Times New Roman" w:hAnsi="Times New Roman" w:cs="Times New Roman"/>
          <w:b/>
          <w:bCs/>
          <w:sz w:val="28"/>
          <w:szCs w:val="28"/>
        </w:rPr>
      </w:pPr>
      <w:r>
        <w:rPr>
          <w:rFonts w:ascii="Times New Roman" w:hAnsi="Times New Roman" w:cs="Times New Roman"/>
          <w:b/>
          <w:bCs/>
          <w:sz w:val="28"/>
          <w:szCs w:val="28"/>
        </w:rPr>
        <w:br w:type="page"/>
      </w:r>
    </w:p>
    <w:p w:rsidR="00300F5C" w:rsidRPr="00A0421E" w:rsidRDefault="00300F5C" w:rsidP="009D1DE0">
      <w:pPr>
        <w:rPr>
          <w:rFonts w:ascii="Times New Roman" w:hAnsi="Times New Roman" w:cs="Times New Roman"/>
          <w:b/>
          <w:bCs/>
          <w:sz w:val="28"/>
          <w:szCs w:val="28"/>
        </w:rPr>
      </w:pPr>
      <w:r w:rsidRPr="00A0421E">
        <w:rPr>
          <w:rFonts w:ascii="Times New Roman" w:hAnsi="Times New Roman" w:cs="Times New Roman"/>
          <w:b/>
          <w:bCs/>
          <w:sz w:val="28"/>
          <w:szCs w:val="28"/>
        </w:rPr>
        <w:lastRenderedPageBreak/>
        <w:t>REFERENCES</w:t>
      </w:r>
    </w:p>
    <w:p w:rsidR="008E29C9" w:rsidRPr="00C33592" w:rsidRDefault="008E29C9" w:rsidP="009D1DE0">
      <w:pPr>
        <w:rPr>
          <w:rFonts w:ascii="Times New Roman" w:hAnsi="Times New Roman" w:cs="Times New Roman"/>
          <w:sz w:val="24"/>
          <w:szCs w:val="24"/>
        </w:rPr>
      </w:pPr>
    </w:p>
    <w:p w:rsidR="00D10D3A" w:rsidRDefault="00D10D3A" w:rsidP="00D10D3A">
      <w:pPr>
        <w:rPr>
          <w:rFonts w:ascii="Times New Roman" w:hAnsi="Times New Roman" w:cs="Times New Roman"/>
          <w:sz w:val="24"/>
          <w:szCs w:val="24"/>
        </w:rPr>
      </w:pPr>
      <w:r>
        <w:rPr>
          <w:rFonts w:ascii="Times New Roman" w:hAnsi="Times New Roman" w:cs="Times New Roman"/>
          <w:sz w:val="24"/>
          <w:szCs w:val="24"/>
        </w:rPr>
        <w:t xml:space="preserve">DWP (2024) </w:t>
      </w:r>
      <w:r w:rsidRPr="00D10D3A">
        <w:rPr>
          <w:rFonts w:ascii="Times New Roman" w:hAnsi="Times New Roman" w:cs="Times New Roman"/>
          <w:i/>
          <w:sz w:val="24"/>
          <w:szCs w:val="24"/>
        </w:rPr>
        <w:t>Estimating the</w:t>
      </w:r>
      <w:r w:rsidRPr="00D10D3A">
        <w:rPr>
          <w:rFonts w:ascii="Times New Roman" w:hAnsi="Times New Roman" w:cs="Times New Roman"/>
          <w:i/>
          <w:sz w:val="24"/>
          <w:szCs w:val="24"/>
        </w:rPr>
        <w:t xml:space="preserve"> </w:t>
      </w:r>
      <w:r w:rsidRPr="00D10D3A">
        <w:rPr>
          <w:rFonts w:ascii="Times New Roman" w:hAnsi="Times New Roman" w:cs="Times New Roman"/>
          <w:i/>
          <w:sz w:val="24"/>
          <w:szCs w:val="24"/>
        </w:rPr>
        <w:t>Employment Impact</w:t>
      </w:r>
      <w:r w:rsidRPr="00D10D3A">
        <w:rPr>
          <w:rFonts w:ascii="Times New Roman" w:hAnsi="Times New Roman" w:cs="Times New Roman"/>
          <w:i/>
          <w:sz w:val="24"/>
          <w:szCs w:val="24"/>
        </w:rPr>
        <w:t xml:space="preserve"> </w:t>
      </w:r>
      <w:r w:rsidRPr="00D10D3A">
        <w:rPr>
          <w:rFonts w:ascii="Times New Roman" w:hAnsi="Times New Roman" w:cs="Times New Roman"/>
          <w:i/>
          <w:sz w:val="24"/>
          <w:szCs w:val="24"/>
        </w:rPr>
        <w:t>of Universal Credit</w:t>
      </w:r>
      <w:r w:rsidRPr="00D10D3A">
        <w:rPr>
          <w:rFonts w:ascii="Times New Roman" w:hAnsi="Times New Roman" w:cs="Times New Roman"/>
          <w:i/>
          <w:sz w:val="24"/>
          <w:szCs w:val="24"/>
        </w:rPr>
        <w:t xml:space="preserve"> </w:t>
      </w:r>
      <w:r w:rsidRPr="00D10D3A">
        <w:rPr>
          <w:rFonts w:ascii="Times New Roman" w:hAnsi="Times New Roman" w:cs="Times New Roman"/>
          <w:i/>
          <w:sz w:val="24"/>
          <w:szCs w:val="24"/>
        </w:rPr>
        <w:t>among Single</w:t>
      </w:r>
      <w:r w:rsidRPr="00D10D3A">
        <w:rPr>
          <w:rFonts w:ascii="Times New Roman" w:hAnsi="Times New Roman" w:cs="Times New Roman"/>
          <w:i/>
          <w:sz w:val="24"/>
          <w:szCs w:val="24"/>
        </w:rPr>
        <w:t xml:space="preserve"> </w:t>
      </w:r>
      <w:r w:rsidRPr="00D10D3A">
        <w:rPr>
          <w:rFonts w:ascii="Times New Roman" w:hAnsi="Times New Roman" w:cs="Times New Roman"/>
          <w:i/>
          <w:sz w:val="24"/>
          <w:szCs w:val="24"/>
        </w:rPr>
        <w:t>Parents</w:t>
      </w:r>
      <w:r>
        <w:rPr>
          <w:rFonts w:ascii="Times New Roman" w:hAnsi="Times New Roman" w:cs="Times New Roman"/>
          <w:sz w:val="24"/>
          <w:szCs w:val="24"/>
        </w:rPr>
        <w:t>, Research Report No.1048, 22 February, at</w:t>
      </w:r>
    </w:p>
    <w:p w:rsidR="00D10D3A" w:rsidRDefault="00D10D3A" w:rsidP="00D10D3A">
      <w:pPr>
        <w:rPr>
          <w:rFonts w:ascii="Times New Roman" w:hAnsi="Times New Roman" w:cs="Times New Roman"/>
          <w:sz w:val="24"/>
          <w:szCs w:val="24"/>
        </w:rPr>
      </w:pPr>
      <w:hyperlink r:id="rId33" w:history="1">
        <w:r w:rsidRPr="00406ABE">
          <w:rPr>
            <w:rStyle w:val="Hyperlink"/>
            <w:rFonts w:ascii="Times New Roman" w:hAnsi="Times New Roman" w:cs="Times New Roman"/>
            <w:sz w:val="24"/>
            <w:szCs w:val="24"/>
          </w:rPr>
          <w:t>https://www.gov.uk/government/publications/estimating-the-employment-impact-of-universal-credit-among-single-parents</w:t>
        </w:r>
      </w:hyperlink>
    </w:p>
    <w:p w:rsidR="00D10D3A" w:rsidRDefault="00D10D3A" w:rsidP="00E122AB">
      <w:pPr>
        <w:rPr>
          <w:rFonts w:ascii="Times New Roman" w:hAnsi="Times New Roman" w:cs="Times New Roman"/>
          <w:sz w:val="24"/>
          <w:szCs w:val="24"/>
        </w:rPr>
      </w:pPr>
    </w:p>
    <w:p w:rsidR="00E122AB" w:rsidRDefault="00105049" w:rsidP="00E122AB">
      <w:pPr>
        <w:rPr>
          <w:rFonts w:ascii="Times New Roman" w:hAnsi="Times New Roman" w:cs="Times New Roman"/>
          <w:sz w:val="24"/>
          <w:szCs w:val="24"/>
        </w:rPr>
      </w:pPr>
      <w:r>
        <w:rPr>
          <w:rFonts w:ascii="Times New Roman" w:hAnsi="Times New Roman" w:cs="Times New Roman"/>
          <w:sz w:val="24"/>
          <w:szCs w:val="24"/>
        </w:rPr>
        <w:t>Health F</w:t>
      </w:r>
      <w:r w:rsidR="00E122AB">
        <w:rPr>
          <w:rFonts w:ascii="Times New Roman" w:hAnsi="Times New Roman" w:cs="Times New Roman"/>
          <w:sz w:val="24"/>
          <w:szCs w:val="24"/>
        </w:rPr>
        <w:t xml:space="preserve">oundation (2023) </w:t>
      </w:r>
      <w:proofErr w:type="gramStart"/>
      <w:r w:rsidR="00E122AB" w:rsidRPr="00105049">
        <w:rPr>
          <w:rFonts w:ascii="Times New Roman" w:hAnsi="Times New Roman" w:cs="Times New Roman"/>
          <w:i/>
          <w:sz w:val="24"/>
          <w:szCs w:val="24"/>
        </w:rPr>
        <w:t>What</w:t>
      </w:r>
      <w:proofErr w:type="gramEnd"/>
      <w:r w:rsidR="00E122AB" w:rsidRPr="00105049">
        <w:rPr>
          <w:rFonts w:ascii="Times New Roman" w:hAnsi="Times New Roman" w:cs="Times New Roman"/>
          <w:i/>
          <w:sz w:val="24"/>
          <w:szCs w:val="24"/>
        </w:rPr>
        <w:t xml:space="preserve"> we know about the UK’s working-age health challenge</w:t>
      </w:r>
      <w:r>
        <w:rPr>
          <w:rFonts w:ascii="Times New Roman" w:hAnsi="Times New Roman" w:cs="Times New Roman"/>
          <w:sz w:val="24"/>
          <w:szCs w:val="24"/>
        </w:rPr>
        <w:t xml:space="preserve">, </w:t>
      </w:r>
      <w:r w:rsidR="00E122AB" w:rsidRPr="00E122AB">
        <w:rPr>
          <w:rFonts w:ascii="Times New Roman" w:hAnsi="Times New Roman" w:cs="Times New Roman"/>
          <w:sz w:val="24"/>
          <w:szCs w:val="24"/>
        </w:rPr>
        <w:t>17 November</w:t>
      </w:r>
      <w:r>
        <w:rPr>
          <w:rFonts w:ascii="Times New Roman" w:hAnsi="Times New Roman" w:cs="Times New Roman"/>
          <w:sz w:val="24"/>
          <w:szCs w:val="24"/>
        </w:rPr>
        <w:t xml:space="preserve">, at </w:t>
      </w:r>
      <w:hyperlink r:id="rId34" w:history="1">
        <w:r w:rsidRPr="00E32B82">
          <w:rPr>
            <w:rStyle w:val="Hyperlink"/>
            <w:rFonts w:ascii="Times New Roman" w:hAnsi="Times New Roman" w:cs="Times New Roman"/>
            <w:sz w:val="24"/>
            <w:szCs w:val="24"/>
          </w:rPr>
          <w:t>https://www.health.org.uk/publications/long-reads/what-we-know-about-the-uk-s-working-age-health-challenge</w:t>
        </w:r>
      </w:hyperlink>
      <w:r>
        <w:rPr>
          <w:rFonts w:ascii="Times New Roman" w:hAnsi="Times New Roman" w:cs="Times New Roman"/>
          <w:sz w:val="24"/>
          <w:szCs w:val="24"/>
        </w:rPr>
        <w:t xml:space="preserve"> (web only)</w:t>
      </w:r>
    </w:p>
    <w:p w:rsidR="00E122AB" w:rsidRDefault="00E122AB" w:rsidP="00BC1CDF">
      <w:pPr>
        <w:rPr>
          <w:rFonts w:ascii="Times New Roman" w:hAnsi="Times New Roman" w:cs="Times New Roman"/>
          <w:sz w:val="24"/>
          <w:szCs w:val="24"/>
        </w:rPr>
      </w:pPr>
    </w:p>
    <w:p w:rsidR="005E0F84" w:rsidRPr="00C92629" w:rsidRDefault="00727F03" w:rsidP="00BC1CDF">
      <w:pPr>
        <w:rPr>
          <w:rFonts w:ascii="Times New Roman" w:hAnsi="Times New Roman" w:cs="Times New Roman"/>
          <w:sz w:val="24"/>
          <w:szCs w:val="24"/>
        </w:rPr>
      </w:pPr>
      <w:r w:rsidRPr="00C92629">
        <w:rPr>
          <w:rFonts w:ascii="Times New Roman" w:hAnsi="Times New Roman" w:cs="Times New Roman"/>
          <w:sz w:val="24"/>
          <w:szCs w:val="24"/>
        </w:rPr>
        <w:t xml:space="preserve">HM Treasury (2023) </w:t>
      </w:r>
      <w:r w:rsidR="00C92629" w:rsidRPr="00A42A45">
        <w:rPr>
          <w:rFonts w:ascii="Times New Roman" w:hAnsi="Times New Roman" w:cs="Times New Roman"/>
          <w:i/>
          <w:sz w:val="24"/>
          <w:szCs w:val="24"/>
        </w:rPr>
        <w:t>Autumn Statement 2023</w:t>
      </w:r>
      <w:r w:rsidR="00C92629" w:rsidRPr="00C92629">
        <w:rPr>
          <w:rFonts w:ascii="Times New Roman" w:hAnsi="Times New Roman" w:cs="Times New Roman"/>
          <w:sz w:val="24"/>
          <w:szCs w:val="24"/>
        </w:rPr>
        <w:t>, CP 977, November, at</w:t>
      </w:r>
    </w:p>
    <w:p w:rsidR="00C92629" w:rsidRDefault="00E664F4" w:rsidP="00BC1CDF">
      <w:pPr>
        <w:rPr>
          <w:rFonts w:ascii="Times New Roman" w:hAnsi="Times New Roman" w:cs="Times New Roman"/>
          <w:color w:val="FF0000"/>
          <w:sz w:val="24"/>
          <w:szCs w:val="24"/>
        </w:rPr>
      </w:pPr>
      <w:hyperlink r:id="rId35" w:history="1">
        <w:r w:rsidR="00C92629" w:rsidRPr="00C22991">
          <w:rPr>
            <w:rStyle w:val="Hyperlink"/>
            <w:rFonts w:ascii="Times New Roman" w:hAnsi="Times New Roman" w:cs="Times New Roman"/>
            <w:sz w:val="24"/>
            <w:szCs w:val="24"/>
          </w:rPr>
          <w:t>https://www.gov.uk/government/organisations/hm-treasury</w:t>
        </w:r>
      </w:hyperlink>
    </w:p>
    <w:p w:rsidR="00C92629" w:rsidRDefault="00C92629" w:rsidP="00BC1CDF">
      <w:pPr>
        <w:rPr>
          <w:rFonts w:ascii="Times New Roman" w:hAnsi="Times New Roman" w:cs="Times New Roman"/>
          <w:color w:val="FF0000"/>
          <w:sz w:val="24"/>
          <w:szCs w:val="24"/>
        </w:rPr>
      </w:pPr>
    </w:p>
    <w:p w:rsidR="000F1FE0" w:rsidRPr="000F1FE0" w:rsidRDefault="000F1FE0" w:rsidP="000F1FE0">
      <w:pPr>
        <w:pStyle w:val="NormalWeb"/>
        <w:spacing w:before="0" w:beforeAutospacing="0" w:after="0" w:afterAutospacing="0"/>
      </w:pPr>
      <w:r w:rsidRPr="000F1FE0">
        <w:t xml:space="preserve">Jones, K., </w:t>
      </w:r>
      <w:r w:rsidRPr="000F1FE0">
        <w:rPr>
          <w:bCs/>
        </w:rPr>
        <w:t>Wright, S.</w:t>
      </w:r>
      <w:r w:rsidRPr="000F1FE0">
        <w:t xml:space="preserve"> and Scullion, L. (2024) ‘The Impact of Welfare Conditionality on Experiences of Job Quality’, </w:t>
      </w:r>
      <w:r w:rsidRPr="000F1FE0">
        <w:rPr>
          <w:i/>
          <w:iCs/>
        </w:rPr>
        <w:t>Work, Employment and Society,</w:t>
      </w:r>
      <w:r w:rsidRPr="000F1FE0">
        <w:t xml:space="preserve"> </w:t>
      </w:r>
      <w:r>
        <w:t xml:space="preserve">at </w:t>
      </w:r>
      <w:hyperlink r:id="rId36" w:tgtFrame="_blank" w:history="1">
        <w:r w:rsidRPr="000F1FE0">
          <w:rPr>
            <w:rStyle w:val="Hyperlink"/>
          </w:rPr>
          <w:t>https://doi.org/10.1177/09500170231219677</w:t>
        </w:r>
      </w:hyperlink>
    </w:p>
    <w:p w:rsidR="000F1FE0" w:rsidRPr="000F1FE0" w:rsidRDefault="000F1FE0" w:rsidP="000F1FE0">
      <w:pPr>
        <w:pStyle w:val="NormalWeb"/>
        <w:spacing w:before="0" w:beforeAutospacing="0" w:after="0" w:afterAutospacing="0"/>
      </w:pPr>
      <w:r w:rsidRPr="000F1FE0">
        <w:t> </w:t>
      </w:r>
      <w:hyperlink r:id="rId37" w:history="1">
        <w:r w:rsidRPr="000F1FE0">
          <w:rPr>
            <w:rStyle w:val="Hyperlink"/>
          </w:rPr>
          <w:t>https://journals.sagepub.com/doi/10.1177/09500170231219677</w:t>
        </w:r>
      </w:hyperlink>
    </w:p>
    <w:p w:rsidR="000F1FE0" w:rsidRPr="000F1FE0" w:rsidRDefault="000F1FE0" w:rsidP="000F1FE0">
      <w:pPr>
        <w:pStyle w:val="NormalWeb"/>
        <w:spacing w:before="0" w:beforeAutospacing="0" w:after="0" w:afterAutospacing="0"/>
      </w:pPr>
    </w:p>
    <w:p w:rsidR="000F1FE0" w:rsidRDefault="00DE373D" w:rsidP="0029795D">
      <w:pPr>
        <w:rPr>
          <w:rFonts w:ascii="Times New Roman" w:hAnsi="Times New Roman" w:cs="Times New Roman"/>
          <w:sz w:val="24"/>
          <w:szCs w:val="24"/>
        </w:rPr>
      </w:pPr>
      <w:r>
        <w:rPr>
          <w:rFonts w:ascii="Times New Roman" w:hAnsi="Times New Roman" w:cs="Times New Roman"/>
          <w:sz w:val="24"/>
          <w:szCs w:val="24"/>
        </w:rPr>
        <w:t xml:space="preserve">Joseph Rowntree Foundation (2024) </w:t>
      </w:r>
      <w:r w:rsidRPr="00DE373D">
        <w:rPr>
          <w:rFonts w:ascii="Times New Roman" w:hAnsi="Times New Roman" w:cs="Times New Roman"/>
          <w:i/>
          <w:sz w:val="24"/>
          <w:szCs w:val="24"/>
        </w:rPr>
        <w:t>UK Poverty 2024: The essential guide to understanding poverty in the UK</w:t>
      </w:r>
      <w:r>
        <w:rPr>
          <w:rFonts w:ascii="Times New Roman" w:hAnsi="Times New Roman" w:cs="Times New Roman"/>
          <w:sz w:val="24"/>
          <w:szCs w:val="24"/>
        </w:rPr>
        <w:t>, January, at</w:t>
      </w:r>
    </w:p>
    <w:p w:rsidR="00DE373D" w:rsidRDefault="00E664F4" w:rsidP="0029795D">
      <w:pPr>
        <w:rPr>
          <w:rFonts w:ascii="Times New Roman" w:hAnsi="Times New Roman" w:cs="Times New Roman"/>
          <w:sz w:val="24"/>
          <w:szCs w:val="24"/>
        </w:rPr>
      </w:pPr>
      <w:hyperlink r:id="rId38" w:history="1">
        <w:r w:rsidR="00DE373D" w:rsidRPr="00E32B82">
          <w:rPr>
            <w:rStyle w:val="Hyperlink"/>
            <w:rFonts w:ascii="Times New Roman" w:hAnsi="Times New Roman" w:cs="Times New Roman"/>
            <w:sz w:val="24"/>
            <w:szCs w:val="24"/>
          </w:rPr>
          <w:t>https://www.jrf.org.uk/uk-poverty-2024-the-essential-guide-to-understanding-poverty-in-the-uk</w:t>
        </w:r>
      </w:hyperlink>
    </w:p>
    <w:p w:rsidR="00DE373D" w:rsidRDefault="00DE373D" w:rsidP="0029795D">
      <w:pPr>
        <w:rPr>
          <w:rFonts w:ascii="Times New Roman" w:hAnsi="Times New Roman" w:cs="Times New Roman"/>
          <w:sz w:val="24"/>
          <w:szCs w:val="24"/>
        </w:rPr>
      </w:pPr>
    </w:p>
    <w:p w:rsidR="00143CFC" w:rsidRPr="00473BB2" w:rsidRDefault="00143CFC" w:rsidP="00143CFC">
      <w:pPr>
        <w:rPr>
          <w:rFonts w:ascii="Times New Roman" w:hAnsi="Times New Roman" w:cs="Times New Roman"/>
          <w:bCs/>
          <w:color w:val="FF0000"/>
          <w:sz w:val="24"/>
          <w:szCs w:val="24"/>
        </w:rPr>
      </w:pPr>
      <w:r w:rsidRPr="00473BB2">
        <w:rPr>
          <w:rFonts w:ascii="Times New Roman" w:hAnsi="Times New Roman" w:cs="Times New Roman"/>
          <w:bCs/>
          <w:sz w:val="24"/>
          <w:szCs w:val="24"/>
        </w:rPr>
        <w:t xml:space="preserve">Public and Commercial Services Union (2023) </w:t>
      </w:r>
      <w:r w:rsidRPr="00473BB2">
        <w:rPr>
          <w:rFonts w:ascii="Times New Roman" w:hAnsi="Times New Roman" w:cs="Times New Roman"/>
          <w:bCs/>
          <w:i/>
          <w:sz w:val="24"/>
          <w:szCs w:val="24"/>
        </w:rPr>
        <w:t>Staffing Crisis in the DWP: PCS members explain how they are affected</w:t>
      </w:r>
      <w:r w:rsidRPr="00473BB2">
        <w:rPr>
          <w:rFonts w:ascii="Times New Roman" w:hAnsi="Times New Roman" w:cs="Times New Roman"/>
          <w:bCs/>
          <w:sz w:val="24"/>
          <w:szCs w:val="24"/>
        </w:rPr>
        <w:t xml:space="preserve">, </w:t>
      </w:r>
      <w:r w:rsidR="00453052" w:rsidRPr="00473BB2">
        <w:rPr>
          <w:rFonts w:ascii="Times New Roman" w:hAnsi="Times New Roman" w:cs="Times New Roman"/>
          <w:bCs/>
          <w:sz w:val="24"/>
          <w:szCs w:val="24"/>
        </w:rPr>
        <w:t>at</w:t>
      </w:r>
      <w:r w:rsidR="00453052" w:rsidRPr="00473BB2">
        <w:rPr>
          <w:rFonts w:ascii="Times New Roman" w:hAnsi="Times New Roman" w:cs="Times New Roman"/>
          <w:bCs/>
          <w:color w:val="FF0000"/>
          <w:sz w:val="24"/>
          <w:szCs w:val="24"/>
        </w:rPr>
        <w:t xml:space="preserve"> </w:t>
      </w:r>
      <w:hyperlink r:id="rId39" w:anchor="1t000000oksc/a/Sl000001RxI0/bhm_vag0ggsL0cvkItbfXZEbpNh7dQ7cNxqPBj.vOA8" w:history="1">
        <w:r w:rsidRPr="00473BB2">
          <w:rPr>
            <w:rStyle w:val="Hyperlink"/>
            <w:rFonts w:ascii="Times New Roman" w:hAnsi="Times New Roman" w:cs="Times New Roman"/>
            <w:bCs/>
            <w:sz w:val="24"/>
            <w:szCs w:val="24"/>
          </w:rPr>
          <w:t>https://mypcs.my.salesforce.com/sfc/p/#1t000000oksc/a/Sl000001RxI0/bhm_vag0ggsL0cvkItbfXZEbpNh7dQ7cNxqPBj.vOA8</w:t>
        </w:r>
      </w:hyperlink>
    </w:p>
    <w:p w:rsidR="00143CFC" w:rsidRPr="00473BB2" w:rsidRDefault="00143CFC" w:rsidP="00143CFC">
      <w:pPr>
        <w:rPr>
          <w:rFonts w:ascii="Times New Roman" w:hAnsi="Times New Roman" w:cs="Times New Roman"/>
          <w:bCs/>
          <w:color w:val="FF0000"/>
          <w:sz w:val="24"/>
          <w:szCs w:val="24"/>
        </w:rPr>
      </w:pPr>
    </w:p>
    <w:p w:rsidR="00B47E9D" w:rsidRDefault="00B47E9D" w:rsidP="005D64E2">
      <w:pPr>
        <w:rPr>
          <w:rFonts w:ascii="Times New Roman" w:hAnsi="Times New Roman" w:cs="Times New Roman"/>
          <w:sz w:val="24"/>
          <w:szCs w:val="24"/>
        </w:rPr>
      </w:pPr>
      <w:r>
        <w:rPr>
          <w:rFonts w:ascii="Times New Roman" w:hAnsi="Times New Roman" w:cs="Times New Roman"/>
          <w:sz w:val="24"/>
          <w:szCs w:val="24"/>
        </w:rPr>
        <w:t>Timms, Stephen (2023) ‘</w:t>
      </w:r>
      <w:r w:rsidRPr="00B47E9D">
        <w:rPr>
          <w:rFonts w:ascii="Times New Roman" w:hAnsi="Times New Roman" w:cs="Times New Roman"/>
          <w:sz w:val="24"/>
          <w:szCs w:val="24"/>
        </w:rPr>
        <w:t>Forcing unready people into ill-suited work is not the answer</w:t>
      </w:r>
      <w:r>
        <w:rPr>
          <w:rFonts w:ascii="Times New Roman" w:hAnsi="Times New Roman" w:cs="Times New Roman"/>
          <w:sz w:val="24"/>
          <w:szCs w:val="24"/>
        </w:rPr>
        <w:t xml:space="preserve">’, </w:t>
      </w:r>
      <w:r w:rsidRPr="00B47E9D">
        <w:rPr>
          <w:rFonts w:ascii="Times New Roman" w:hAnsi="Times New Roman" w:cs="Times New Roman"/>
          <w:i/>
          <w:sz w:val="24"/>
          <w:szCs w:val="24"/>
        </w:rPr>
        <w:t>PoliticsHome</w:t>
      </w:r>
      <w:r>
        <w:rPr>
          <w:rFonts w:ascii="Times New Roman" w:hAnsi="Times New Roman" w:cs="Times New Roman"/>
          <w:sz w:val="24"/>
          <w:szCs w:val="24"/>
        </w:rPr>
        <w:t>, 30 November, at</w:t>
      </w:r>
    </w:p>
    <w:p w:rsidR="00B47E9D" w:rsidRDefault="00E664F4" w:rsidP="005D64E2">
      <w:pPr>
        <w:rPr>
          <w:rFonts w:ascii="Times New Roman" w:hAnsi="Times New Roman" w:cs="Times New Roman"/>
          <w:sz w:val="24"/>
          <w:szCs w:val="24"/>
        </w:rPr>
      </w:pPr>
      <w:hyperlink r:id="rId40" w:history="1">
        <w:r w:rsidR="00B47E9D" w:rsidRPr="00E32B82">
          <w:rPr>
            <w:rStyle w:val="Hyperlink"/>
            <w:rFonts w:ascii="Times New Roman" w:hAnsi="Times New Roman" w:cs="Times New Roman"/>
            <w:sz w:val="24"/>
            <w:szCs w:val="24"/>
          </w:rPr>
          <w:t>https://www.politicshome.com/thehouse/article/forcing-unready-people-illsuited-work-answer</w:t>
        </w:r>
      </w:hyperlink>
      <w:r w:rsidR="00B47E9D">
        <w:rPr>
          <w:rFonts w:ascii="Times New Roman" w:hAnsi="Times New Roman" w:cs="Times New Roman"/>
          <w:sz w:val="24"/>
          <w:szCs w:val="24"/>
        </w:rPr>
        <w:t xml:space="preserve"> (web only)</w:t>
      </w:r>
    </w:p>
    <w:p w:rsidR="00B47E9D" w:rsidRDefault="00B47E9D" w:rsidP="005D64E2">
      <w:pPr>
        <w:rPr>
          <w:rFonts w:ascii="Times New Roman" w:hAnsi="Times New Roman" w:cs="Times New Roman"/>
          <w:sz w:val="24"/>
          <w:szCs w:val="24"/>
        </w:rPr>
      </w:pPr>
    </w:p>
    <w:p w:rsidR="005D64E2" w:rsidRPr="005D64E2" w:rsidRDefault="005D64E2" w:rsidP="005D64E2">
      <w:pPr>
        <w:rPr>
          <w:rFonts w:ascii="Times New Roman" w:hAnsi="Times New Roman" w:cs="Times New Roman"/>
          <w:sz w:val="24"/>
          <w:szCs w:val="24"/>
        </w:rPr>
      </w:pPr>
      <w:r w:rsidRPr="005D64E2">
        <w:rPr>
          <w:rFonts w:ascii="Times New Roman" w:hAnsi="Times New Roman" w:cs="Times New Roman"/>
          <w:sz w:val="24"/>
          <w:szCs w:val="24"/>
        </w:rPr>
        <w:t>Wright</w:t>
      </w:r>
      <w:r>
        <w:rPr>
          <w:rFonts w:ascii="Times New Roman" w:hAnsi="Times New Roman" w:cs="Times New Roman"/>
          <w:sz w:val="24"/>
          <w:szCs w:val="24"/>
        </w:rPr>
        <w:t>,</w:t>
      </w:r>
      <w:r w:rsidRPr="005D64E2">
        <w:rPr>
          <w:rFonts w:ascii="Times New Roman" w:hAnsi="Times New Roman" w:cs="Times New Roman"/>
          <w:sz w:val="24"/>
          <w:szCs w:val="24"/>
        </w:rPr>
        <w:t xml:space="preserve"> Sharon</w:t>
      </w:r>
      <w:r>
        <w:rPr>
          <w:rFonts w:ascii="Times New Roman" w:hAnsi="Times New Roman" w:cs="Times New Roman"/>
          <w:sz w:val="24"/>
          <w:szCs w:val="24"/>
        </w:rPr>
        <w:t xml:space="preserve"> (2023) </w:t>
      </w:r>
      <w:r w:rsidRPr="005D64E2">
        <w:rPr>
          <w:rFonts w:ascii="Times New Roman" w:hAnsi="Times New Roman" w:cs="Times New Roman"/>
          <w:i/>
          <w:sz w:val="24"/>
          <w:szCs w:val="24"/>
        </w:rPr>
        <w:t>Women and Welfare Conditionality: Lived Experiences of Benefit Sanctions, Work and Welfare</w:t>
      </w:r>
      <w:r>
        <w:rPr>
          <w:rFonts w:ascii="Times New Roman" w:hAnsi="Times New Roman" w:cs="Times New Roman"/>
          <w:sz w:val="24"/>
          <w:szCs w:val="24"/>
        </w:rPr>
        <w:t>, Bristol, Policy Press</w:t>
      </w:r>
      <w:r w:rsidR="00B053F2">
        <w:rPr>
          <w:rFonts w:ascii="Times New Roman" w:hAnsi="Times New Roman" w:cs="Times New Roman"/>
          <w:sz w:val="24"/>
          <w:szCs w:val="24"/>
        </w:rPr>
        <w:t>,</w:t>
      </w:r>
      <w:r>
        <w:rPr>
          <w:rFonts w:ascii="Times New Roman" w:hAnsi="Times New Roman" w:cs="Times New Roman"/>
          <w:sz w:val="24"/>
          <w:szCs w:val="24"/>
        </w:rPr>
        <w:t xml:space="preserve"> 30 October</w:t>
      </w:r>
    </w:p>
    <w:p w:rsidR="00350B7C" w:rsidRPr="00473BB2" w:rsidRDefault="00350B7C" w:rsidP="00350B7C">
      <w:pPr>
        <w:rPr>
          <w:rFonts w:ascii="Times New Roman" w:hAnsi="Times New Roman" w:cs="Times New Roman"/>
          <w:sz w:val="24"/>
          <w:szCs w:val="24"/>
        </w:rPr>
      </w:pPr>
    </w:p>
    <w:p w:rsidR="00C949B6" w:rsidRDefault="00C949B6" w:rsidP="0029172F">
      <w:pPr>
        <w:rPr>
          <w:rFonts w:ascii="Times New Roman" w:hAnsi="Times New Roman" w:cs="Times New Roman"/>
          <w:bCs/>
          <w:sz w:val="24"/>
          <w:szCs w:val="24"/>
        </w:rPr>
        <w:sectPr w:rsidR="00C949B6" w:rsidSect="00A51129">
          <w:headerReference w:type="default" r:id="rId41"/>
          <w:endnotePr>
            <w:numFmt w:val="decimal"/>
          </w:endnotePr>
          <w:type w:val="continuous"/>
          <w:pgSz w:w="11906" w:h="16838"/>
          <w:pgMar w:top="1440" w:right="1440" w:bottom="1440" w:left="1440" w:header="708" w:footer="708" w:gutter="0"/>
          <w:cols w:space="708"/>
          <w:titlePg/>
          <w:docGrid w:linePitch="360"/>
        </w:sectPr>
      </w:pPr>
    </w:p>
    <w:p w:rsidR="001A728B" w:rsidRDefault="008518A3" w:rsidP="0047712E">
      <w:pPr>
        <w:rPr>
          <w:rFonts w:ascii="Times New Roman" w:hAnsi="Times New Roman" w:cs="Times New Roman"/>
          <w:b/>
          <w:bCs/>
          <w:sz w:val="24"/>
          <w:szCs w:val="24"/>
        </w:rPr>
      </w:pPr>
      <w:r w:rsidRPr="008518A3">
        <w:rPr>
          <w:rFonts w:ascii="Times New Roman" w:hAnsi="Times New Roman" w:cs="Times New Roman"/>
          <w:b/>
          <w:bCs/>
          <w:sz w:val="24"/>
          <w:szCs w:val="24"/>
        </w:rPr>
        <w:lastRenderedPageBreak/>
        <w:t>Figure 1</w:t>
      </w:r>
    </w:p>
    <w:p w:rsidR="001A5FF9" w:rsidRDefault="000F0C78"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92037" cy="5525503"/>
            <wp:effectExtent l="19050" t="0" r="4313"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srcRect/>
                    <a:stretch>
                      <a:fillRect/>
                    </a:stretch>
                  </pic:blipFill>
                  <pic:spPr bwMode="auto">
                    <a:xfrm>
                      <a:off x="0" y="0"/>
                      <a:ext cx="8897683" cy="5529011"/>
                    </a:xfrm>
                    <a:prstGeom prst="rect">
                      <a:avLst/>
                    </a:prstGeom>
                    <a:noFill/>
                  </pic:spPr>
                </pic:pic>
              </a:graphicData>
            </a:graphic>
          </wp:inline>
        </w:drawing>
      </w:r>
    </w:p>
    <w:p w:rsidR="002D0C71" w:rsidRDefault="002D0C71" w:rsidP="0047712E">
      <w:pPr>
        <w:rPr>
          <w:rFonts w:ascii="Times New Roman" w:hAnsi="Times New Roman" w:cs="Times New Roman"/>
          <w:b/>
          <w:bCs/>
          <w:sz w:val="24"/>
          <w:szCs w:val="24"/>
        </w:rPr>
      </w:pPr>
    </w:p>
    <w:p w:rsidR="002D0C71" w:rsidRDefault="002D0C71" w:rsidP="0047712E">
      <w:pPr>
        <w:rPr>
          <w:rFonts w:ascii="Times New Roman" w:hAnsi="Times New Roman" w:cs="Times New Roman"/>
          <w:b/>
          <w:bCs/>
          <w:sz w:val="24"/>
          <w:szCs w:val="24"/>
        </w:rPr>
      </w:pPr>
      <w:r>
        <w:rPr>
          <w:rFonts w:ascii="Times New Roman" w:hAnsi="Times New Roman" w:cs="Times New Roman"/>
          <w:b/>
          <w:bCs/>
          <w:sz w:val="24"/>
          <w:szCs w:val="24"/>
        </w:rPr>
        <w:t>Figure 2</w:t>
      </w:r>
    </w:p>
    <w:p w:rsidR="002D0C71" w:rsidRDefault="000F0C78"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96853" cy="5305245"/>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srcRect/>
                    <a:stretch>
                      <a:fillRect/>
                    </a:stretch>
                  </pic:blipFill>
                  <pic:spPr bwMode="auto">
                    <a:xfrm>
                      <a:off x="0" y="0"/>
                      <a:ext cx="8899410" cy="5306770"/>
                    </a:xfrm>
                    <a:prstGeom prst="rect">
                      <a:avLst/>
                    </a:prstGeom>
                    <a:noFill/>
                  </pic:spPr>
                </pic:pic>
              </a:graphicData>
            </a:graphic>
          </wp:inline>
        </w:drawing>
      </w:r>
    </w:p>
    <w:p w:rsidR="00AA7DD4" w:rsidRDefault="00AA7DD4" w:rsidP="0047712E">
      <w:pPr>
        <w:rPr>
          <w:rFonts w:ascii="Times New Roman" w:hAnsi="Times New Roman" w:cs="Times New Roman"/>
          <w:b/>
          <w:bCs/>
          <w:sz w:val="24"/>
          <w:szCs w:val="24"/>
        </w:rPr>
      </w:pPr>
    </w:p>
    <w:p w:rsidR="00AA7DD4" w:rsidRDefault="00AA7DD4" w:rsidP="0047712E">
      <w:pPr>
        <w:rPr>
          <w:rFonts w:ascii="Times New Roman" w:hAnsi="Times New Roman" w:cs="Times New Roman"/>
          <w:b/>
          <w:bCs/>
          <w:sz w:val="24"/>
          <w:szCs w:val="24"/>
        </w:rPr>
      </w:pPr>
      <w:r>
        <w:rPr>
          <w:rFonts w:ascii="Times New Roman" w:hAnsi="Times New Roman" w:cs="Times New Roman"/>
          <w:b/>
          <w:bCs/>
          <w:sz w:val="24"/>
          <w:szCs w:val="24"/>
        </w:rPr>
        <w:t>Figure 3</w:t>
      </w:r>
    </w:p>
    <w:p w:rsidR="00AA7DD4" w:rsidRDefault="00DE0032"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78301" cy="5348190"/>
            <wp:effectExtent l="19050" t="0" r="0"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srcRect/>
                    <a:stretch>
                      <a:fillRect/>
                    </a:stretch>
                  </pic:blipFill>
                  <pic:spPr bwMode="auto">
                    <a:xfrm>
                      <a:off x="0" y="0"/>
                      <a:ext cx="8974996" cy="5346221"/>
                    </a:xfrm>
                    <a:prstGeom prst="rect">
                      <a:avLst/>
                    </a:prstGeom>
                    <a:noFill/>
                  </pic:spPr>
                </pic:pic>
              </a:graphicData>
            </a:graphic>
          </wp:inline>
        </w:drawing>
      </w:r>
    </w:p>
    <w:p w:rsidR="00AA7DD4" w:rsidRDefault="00AA7DD4" w:rsidP="0047712E">
      <w:pPr>
        <w:rPr>
          <w:rFonts w:ascii="Times New Roman" w:hAnsi="Times New Roman" w:cs="Times New Roman"/>
          <w:b/>
          <w:bCs/>
          <w:sz w:val="24"/>
          <w:szCs w:val="24"/>
        </w:rPr>
      </w:pPr>
    </w:p>
    <w:p w:rsidR="00666696" w:rsidRDefault="00666696" w:rsidP="0047712E">
      <w:pPr>
        <w:rPr>
          <w:rFonts w:ascii="Times New Roman" w:hAnsi="Times New Roman" w:cs="Times New Roman"/>
          <w:b/>
          <w:bCs/>
          <w:sz w:val="24"/>
          <w:szCs w:val="24"/>
        </w:rPr>
      </w:pPr>
    </w:p>
    <w:p w:rsidR="00666696" w:rsidRDefault="00666696" w:rsidP="0047712E">
      <w:pPr>
        <w:rPr>
          <w:rFonts w:ascii="Times New Roman" w:hAnsi="Times New Roman" w:cs="Times New Roman"/>
          <w:b/>
          <w:bCs/>
          <w:sz w:val="24"/>
          <w:szCs w:val="24"/>
        </w:rPr>
      </w:pPr>
      <w:r>
        <w:rPr>
          <w:rFonts w:ascii="Times New Roman" w:hAnsi="Times New Roman" w:cs="Times New Roman"/>
          <w:b/>
          <w:bCs/>
          <w:sz w:val="24"/>
          <w:szCs w:val="24"/>
        </w:rPr>
        <w:t>Figure 4</w:t>
      </w:r>
    </w:p>
    <w:p w:rsidR="00DE0032" w:rsidRDefault="00575B1F" w:rsidP="0047712E">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09290" cy="5148243"/>
            <wp:effectExtent l="19050" t="0" r="611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srcRect/>
                    <a:stretch>
                      <a:fillRect/>
                    </a:stretch>
                  </pic:blipFill>
                  <pic:spPr bwMode="auto">
                    <a:xfrm>
                      <a:off x="0" y="0"/>
                      <a:ext cx="8916902" cy="5152642"/>
                    </a:xfrm>
                    <a:prstGeom prst="rect">
                      <a:avLst/>
                    </a:prstGeom>
                    <a:noFill/>
                  </pic:spPr>
                </pic:pic>
              </a:graphicData>
            </a:graphic>
          </wp:inline>
        </w:drawing>
      </w:r>
    </w:p>
    <w:p w:rsidR="00DE0032" w:rsidRDefault="00DE0032" w:rsidP="0047712E">
      <w:pPr>
        <w:rPr>
          <w:rFonts w:ascii="Times New Roman" w:hAnsi="Times New Roman" w:cs="Times New Roman"/>
          <w:b/>
          <w:bCs/>
          <w:sz w:val="24"/>
          <w:szCs w:val="24"/>
        </w:rPr>
      </w:pPr>
    </w:p>
    <w:p w:rsidR="003265C6" w:rsidRDefault="003265C6" w:rsidP="0047712E">
      <w:pPr>
        <w:rPr>
          <w:rFonts w:ascii="Times New Roman" w:hAnsi="Times New Roman" w:cs="Times New Roman"/>
          <w:b/>
          <w:bCs/>
          <w:sz w:val="24"/>
          <w:szCs w:val="24"/>
        </w:rPr>
      </w:pPr>
    </w:p>
    <w:p w:rsidR="00A654F4" w:rsidRDefault="00A654F4" w:rsidP="00A654F4">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757CAD">
        <w:rPr>
          <w:rFonts w:ascii="Times New Roman" w:hAnsi="Times New Roman" w:cs="Times New Roman"/>
          <w:b/>
          <w:bCs/>
          <w:sz w:val="24"/>
          <w:szCs w:val="24"/>
        </w:rPr>
        <w:t>5</w:t>
      </w:r>
    </w:p>
    <w:p w:rsidR="001A6CA5" w:rsidRDefault="001A6CA5"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71267" cy="5122479"/>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srcRect/>
                    <a:stretch>
                      <a:fillRect/>
                    </a:stretch>
                  </pic:blipFill>
                  <pic:spPr bwMode="auto">
                    <a:xfrm>
                      <a:off x="0" y="0"/>
                      <a:ext cx="8776231" cy="5125378"/>
                    </a:xfrm>
                    <a:prstGeom prst="rect">
                      <a:avLst/>
                    </a:prstGeom>
                    <a:noFill/>
                  </pic:spPr>
                </pic:pic>
              </a:graphicData>
            </a:graphic>
          </wp:inline>
        </w:drawing>
      </w:r>
    </w:p>
    <w:p w:rsidR="002361E9" w:rsidRDefault="002361E9" w:rsidP="00A654F4">
      <w:pPr>
        <w:rPr>
          <w:rFonts w:ascii="Times New Roman" w:hAnsi="Times New Roman" w:cs="Times New Roman"/>
          <w:b/>
          <w:bCs/>
          <w:sz w:val="24"/>
          <w:szCs w:val="24"/>
        </w:rPr>
      </w:pPr>
    </w:p>
    <w:p w:rsidR="002361E9" w:rsidRDefault="002361E9" w:rsidP="00A654F4">
      <w:pPr>
        <w:rPr>
          <w:rFonts w:ascii="Times New Roman" w:hAnsi="Times New Roman" w:cs="Times New Roman"/>
          <w:b/>
          <w:bCs/>
          <w:sz w:val="24"/>
          <w:szCs w:val="24"/>
        </w:rPr>
      </w:pPr>
      <w:r>
        <w:rPr>
          <w:rFonts w:ascii="Times New Roman" w:hAnsi="Times New Roman" w:cs="Times New Roman"/>
          <w:b/>
          <w:bCs/>
          <w:sz w:val="24"/>
          <w:szCs w:val="24"/>
        </w:rPr>
        <w:t>Figure 6</w:t>
      </w:r>
    </w:p>
    <w:p w:rsidR="002361E9" w:rsidRDefault="002361E9"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67135" cy="5190020"/>
            <wp:effectExtent l="19050" t="0" r="541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srcRect/>
                    <a:stretch>
                      <a:fillRect/>
                    </a:stretch>
                  </pic:blipFill>
                  <pic:spPr bwMode="auto">
                    <a:xfrm>
                      <a:off x="0" y="0"/>
                      <a:ext cx="8963491" cy="5187911"/>
                    </a:xfrm>
                    <a:prstGeom prst="rect">
                      <a:avLst/>
                    </a:prstGeom>
                    <a:noFill/>
                  </pic:spPr>
                </pic:pic>
              </a:graphicData>
            </a:graphic>
          </wp:inline>
        </w:drawing>
      </w:r>
    </w:p>
    <w:p w:rsidR="002361E9" w:rsidRDefault="002361E9" w:rsidP="00A654F4">
      <w:pPr>
        <w:rPr>
          <w:rFonts w:ascii="Times New Roman" w:hAnsi="Times New Roman" w:cs="Times New Roman"/>
          <w:b/>
          <w:bCs/>
          <w:sz w:val="24"/>
          <w:szCs w:val="24"/>
        </w:rPr>
      </w:pPr>
    </w:p>
    <w:p w:rsidR="001A6CA5" w:rsidRDefault="001A6CA5" w:rsidP="00A654F4">
      <w:pPr>
        <w:rPr>
          <w:rFonts w:ascii="Times New Roman" w:hAnsi="Times New Roman" w:cs="Times New Roman"/>
          <w:b/>
          <w:bCs/>
          <w:sz w:val="24"/>
          <w:szCs w:val="24"/>
        </w:rPr>
      </w:pPr>
    </w:p>
    <w:p w:rsidR="001A6CA5" w:rsidRDefault="00E87168" w:rsidP="00A654F4">
      <w:pPr>
        <w:rPr>
          <w:rFonts w:ascii="Times New Roman" w:hAnsi="Times New Roman" w:cs="Times New Roman"/>
          <w:b/>
          <w:bCs/>
          <w:sz w:val="24"/>
          <w:szCs w:val="24"/>
        </w:rPr>
      </w:pPr>
      <w:r>
        <w:rPr>
          <w:rFonts w:ascii="Times New Roman" w:hAnsi="Times New Roman" w:cs="Times New Roman"/>
          <w:b/>
          <w:bCs/>
          <w:sz w:val="24"/>
          <w:szCs w:val="24"/>
        </w:rPr>
        <w:t>Figure 7</w:t>
      </w:r>
    </w:p>
    <w:p w:rsidR="001A6CA5" w:rsidRDefault="00D3171A"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83410" cy="5071693"/>
            <wp:effectExtent l="1905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srcRect/>
                    <a:stretch>
                      <a:fillRect/>
                    </a:stretch>
                  </pic:blipFill>
                  <pic:spPr bwMode="auto">
                    <a:xfrm>
                      <a:off x="0" y="0"/>
                      <a:ext cx="8879505" cy="5069464"/>
                    </a:xfrm>
                    <a:prstGeom prst="rect">
                      <a:avLst/>
                    </a:prstGeom>
                    <a:noFill/>
                  </pic:spPr>
                </pic:pic>
              </a:graphicData>
            </a:graphic>
          </wp:inline>
        </w:drawing>
      </w:r>
    </w:p>
    <w:p w:rsidR="00DC7053" w:rsidRDefault="00DC7053" w:rsidP="00A654F4">
      <w:pPr>
        <w:rPr>
          <w:rFonts w:ascii="Times New Roman" w:hAnsi="Times New Roman" w:cs="Times New Roman"/>
          <w:b/>
          <w:bCs/>
          <w:sz w:val="24"/>
          <w:szCs w:val="24"/>
        </w:rPr>
      </w:pPr>
    </w:p>
    <w:p w:rsidR="00DC7053" w:rsidRDefault="00DC7053" w:rsidP="00A654F4">
      <w:pPr>
        <w:rPr>
          <w:rFonts w:ascii="Times New Roman" w:hAnsi="Times New Roman" w:cs="Times New Roman"/>
          <w:b/>
          <w:bCs/>
          <w:sz w:val="24"/>
          <w:szCs w:val="24"/>
        </w:rPr>
      </w:pPr>
    </w:p>
    <w:p w:rsidR="00DC7053" w:rsidRDefault="00DC7053" w:rsidP="00A654F4">
      <w:pPr>
        <w:rPr>
          <w:rFonts w:ascii="Times New Roman" w:hAnsi="Times New Roman" w:cs="Times New Roman"/>
          <w:b/>
          <w:bCs/>
          <w:sz w:val="24"/>
          <w:szCs w:val="24"/>
        </w:rPr>
      </w:pPr>
      <w:r>
        <w:rPr>
          <w:rFonts w:ascii="Times New Roman" w:hAnsi="Times New Roman" w:cs="Times New Roman"/>
          <w:b/>
          <w:bCs/>
          <w:sz w:val="24"/>
          <w:szCs w:val="24"/>
        </w:rPr>
        <w:t>Figure 8</w:t>
      </w:r>
    </w:p>
    <w:p w:rsidR="00DC7053" w:rsidRDefault="002F5ED8"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67135" cy="5287992"/>
            <wp:effectExtent l="19050" t="0" r="541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srcRect/>
                    <a:stretch>
                      <a:fillRect/>
                    </a:stretch>
                  </pic:blipFill>
                  <pic:spPr bwMode="auto">
                    <a:xfrm>
                      <a:off x="0" y="0"/>
                      <a:ext cx="8969582" cy="5289435"/>
                    </a:xfrm>
                    <a:prstGeom prst="rect">
                      <a:avLst/>
                    </a:prstGeom>
                    <a:noFill/>
                  </pic:spPr>
                </pic:pic>
              </a:graphicData>
            </a:graphic>
          </wp:inline>
        </w:drawing>
      </w:r>
    </w:p>
    <w:p w:rsidR="00DA2B3D" w:rsidRDefault="00DA2B3D" w:rsidP="00A654F4">
      <w:pPr>
        <w:rPr>
          <w:rFonts w:ascii="Times New Roman" w:hAnsi="Times New Roman" w:cs="Times New Roman"/>
          <w:b/>
          <w:bCs/>
          <w:sz w:val="24"/>
          <w:szCs w:val="24"/>
        </w:rPr>
      </w:pPr>
    </w:p>
    <w:p w:rsidR="00DA2B3D" w:rsidRDefault="00DA2B3D" w:rsidP="00A654F4">
      <w:pPr>
        <w:rPr>
          <w:rFonts w:ascii="Times New Roman" w:hAnsi="Times New Roman" w:cs="Times New Roman"/>
          <w:b/>
          <w:bCs/>
          <w:sz w:val="24"/>
          <w:szCs w:val="24"/>
        </w:rPr>
      </w:pPr>
      <w:r>
        <w:rPr>
          <w:rFonts w:ascii="Times New Roman" w:hAnsi="Times New Roman" w:cs="Times New Roman"/>
          <w:b/>
          <w:bCs/>
          <w:sz w:val="24"/>
          <w:szCs w:val="24"/>
        </w:rPr>
        <w:t>Figure 9</w:t>
      </w:r>
    </w:p>
    <w:p w:rsidR="00DA2B3D" w:rsidRDefault="00DA2B3D"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92037" cy="5132717"/>
            <wp:effectExtent l="19050" t="0" r="4313"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srcRect/>
                    <a:stretch>
                      <a:fillRect/>
                    </a:stretch>
                  </pic:blipFill>
                  <pic:spPr bwMode="auto">
                    <a:xfrm>
                      <a:off x="0" y="0"/>
                      <a:ext cx="8895890" cy="5134941"/>
                    </a:xfrm>
                    <a:prstGeom prst="rect">
                      <a:avLst/>
                    </a:prstGeom>
                    <a:noFill/>
                  </pic:spPr>
                </pic:pic>
              </a:graphicData>
            </a:graphic>
          </wp:inline>
        </w:drawing>
      </w:r>
    </w:p>
    <w:p w:rsidR="00DA2B3D" w:rsidRDefault="00DA2B3D" w:rsidP="00A654F4">
      <w:pPr>
        <w:rPr>
          <w:rFonts w:ascii="Times New Roman" w:hAnsi="Times New Roman" w:cs="Times New Roman"/>
          <w:b/>
          <w:bCs/>
          <w:sz w:val="24"/>
          <w:szCs w:val="24"/>
        </w:rPr>
      </w:pPr>
    </w:p>
    <w:p w:rsidR="00DA2B3D" w:rsidRDefault="00DA2B3D" w:rsidP="00A654F4">
      <w:pPr>
        <w:rPr>
          <w:rFonts w:ascii="Times New Roman" w:hAnsi="Times New Roman" w:cs="Times New Roman"/>
          <w:b/>
          <w:bCs/>
          <w:sz w:val="24"/>
          <w:szCs w:val="24"/>
        </w:rPr>
      </w:pPr>
    </w:p>
    <w:p w:rsidR="00DC7053" w:rsidRDefault="00BB34EF" w:rsidP="00A654F4">
      <w:pPr>
        <w:rPr>
          <w:rFonts w:ascii="Times New Roman" w:hAnsi="Times New Roman" w:cs="Times New Roman"/>
          <w:b/>
          <w:bCs/>
          <w:sz w:val="24"/>
          <w:szCs w:val="24"/>
        </w:rPr>
      </w:pPr>
      <w:r>
        <w:rPr>
          <w:rFonts w:ascii="Times New Roman" w:hAnsi="Times New Roman" w:cs="Times New Roman"/>
          <w:b/>
          <w:bCs/>
          <w:sz w:val="24"/>
          <w:szCs w:val="24"/>
        </w:rPr>
        <w:t>Figure 10</w:t>
      </w:r>
    </w:p>
    <w:p w:rsidR="00BB34EF" w:rsidRDefault="00BB34EF"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66158" cy="5336904"/>
            <wp:effectExtent l="1905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srcRect/>
                    <a:stretch>
                      <a:fillRect/>
                    </a:stretch>
                  </pic:blipFill>
                  <pic:spPr bwMode="auto">
                    <a:xfrm>
                      <a:off x="0" y="0"/>
                      <a:ext cx="8862261" cy="5334558"/>
                    </a:xfrm>
                    <a:prstGeom prst="rect">
                      <a:avLst/>
                    </a:prstGeom>
                    <a:noFill/>
                  </pic:spPr>
                </pic:pic>
              </a:graphicData>
            </a:graphic>
          </wp:inline>
        </w:drawing>
      </w:r>
    </w:p>
    <w:p w:rsidR="00BB34EF" w:rsidRDefault="00BB34EF" w:rsidP="00A654F4">
      <w:pPr>
        <w:rPr>
          <w:rFonts w:ascii="Times New Roman" w:hAnsi="Times New Roman" w:cs="Times New Roman"/>
          <w:b/>
          <w:bCs/>
          <w:sz w:val="24"/>
          <w:szCs w:val="24"/>
        </w:rPr>
      </w:pPr>
    </w:p>
    <w:p w:rsidR="00BB34EF" w:rsidRDefault="00BB34EF" w:rsidP="00A654F4">
      <w:pPr>
        <w:rPr>
          <w:rFonts w:ascii="Times New Roman" w:hAnsi="Times New Roman" w:cs="Times New Roman"/>
          <w:b/>
          <w:bCs/>
          <w:sz w:val="24"/>
          <w:szCs w:val="24"/>
        </w:rPr>
      </w:pPr>
      <w:r>
        <w:rPr>
          <w:rFonts w:ascii="Times New Roman" w:hAnsi="Times New Roman" w:cs="Times New Roman"/>
          <w:b/>
          <w:bCs/>
          <w:sz w:val="24"/>
          <w:szCs w:val="24"/>
        </w:rPr>
        <w:t>Figure 11</w:t>
      </w:r>
    </w:p>
    <w:p w:rsidR="00BB34EF" w:rsidRDefault="00E13CD6"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51787" cy="5348189"/>
            <wp:effectExtent l="19050" t="0" r="1713"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srcRect/>
                    <a:stretch>
                      <a:fillRect/>
                    </a:stretch>
                  </pic:blipFill>
                  <pic:spPr bwMode="auto">
                    <a:xfrm>
                      <a:off x="0" y="0"/>
                      <a:ext cx="8947852" cy="5345838"/>
                    </a:xfrm>
                    <a:prstGeom prst="rect">
                      <a:avLst/>
                    </a:prstGeom>
                    <a:noFill/>
                  </pic:spPr>
                </pic:pic>
              </a:graphicData>
            </a:graphic>
          </wp:inline>
        </w:drawing>
      </w:r>
    </w:p>
    <w:p w:rsidR="00BB34EF" w:rsidRDefault="00BB34EF" w:rsidP="00A654F4">
      <w:pPr>
        <w:rPr>
          <w:rFonts w:ascii="Times New Roman" w:hAnsi="Times New Roman" w:cs="Times New Roman"/>
          <w:b/>
          <w:bCs/>
          <w:sz w:val="24"/>
          <w:szCs w:val="24"/>
        </w:rPr>
      </w:pPr>
    </w:p>
    <w:p w:rsidR="00DC7053" w:rsidRDefault="00DC7053" w:rsidP="00A654F4">
      <w:pPr>
        <w:rPr>
          <w:rFonts w:ascii="Times New Roman" w:hAnsi="Times New Roman" w:cs="Times New Roman"/>
          <w:b/>
          <w:bCs/>
          <w:sz w:val="24"/>
          <w:szCs w:val="24"/>
        </w:rPr>
      </w:pPr>
    </w:p>
    <w:p w:rsidR="00E87168" w:rsidRDefault="005D3E36" w:rsidP="00A654F4">
      <w:pPr>
        <w:rPr>
          <w:rFonts w:ascii="Times New Roman" w:hAnsi="Times New Roman" w:cs="Times New Roman"/>
          <w:b/>
          <w:bCs/>
          <w:sz w:val="24"/>
          <w:szCs w:val="24"/>
        </w:rPr>
      </w:pPr>
      <w:r>
        <w:rPr>
          <w:rFonts w:ascii="Times New Roman" w:hAnsi="Times New Roman" w:cs="Times New Roman"/>
          <w:b/>
          <w:bCs/>
          <w:sz w:val="24"/>
          <w:szCs w:val="24"/>
        </w:rPr>
        <w:t>Figure 12</w:t>
      </w:r>
    </w:p>
    <w:p w:rsidR="00D72EC7" w:rsidRDefault="005A1807"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52422" cy="5193102"/>
            <wp:effectExtent l="19050" t="0" r="1078"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srcRect/>
                    <a:stretch>
                      <a:fillRect/>
                    </a:stretch>
                  </pic:blipFill>
                  <pic:spPr bwMode="auto">
                    <a:xfrm>
                      <a:off x="0" y="0"/>
                      <a:ext cx="8954575" cy="5194351"/>
                    </a:xfrm>
                    <a:prstGeom prst="rect">
                      <a:avLst/>
                    </a:prstGeom>
                    <a:noFill/>
                  </pic:spPr>
                </pic:pic>
              </a:graphicData>
            </a:graphic>
          </wp:inline>
        </w:drawing>
      </w:r>
    </w:p>
    <w:p w:rsidR="00F7075A" w:rsidRDefault="00F7075A" w:rsidP="00A654F4">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Figure </w:t>
      </w:r>
      <w:r w:rsidR="005D3E36">
        <w:rPr>
          <w:rFonts w:ascii="Times New Roman" w:hAnsi="Times New Roman" w:cs="Times New Roman"/>
          <w:b/>
          <w:bCs/>
          <w:sz w:val="24"/>
          <w:szCs w:val="24"/>
        </w:rPr>
        <w:t>13</w:t>
      </w:r>
    </w:p>
    <w:p w:rsidR="00D72EC7" w:rsidRDefault="00F66F62"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943795" cy="5520906"/>
            <wp:effectExtent l="19050" t="0" r="0"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srcRect/>
                    <a:stretch>
                      <a:fillRect/>
                    </a:stretch>
                  </pic:blipFill>
                  <pic:spPr bwMode="auto">
                    <a:xfrm>
                      <a:off x="0" y="0"/>
                      <a:ext cx="8943442" cy="5520688"/>
                    </a:xfrm>
                    <a:prstGeom prst="rect">
                      <a:avLst/>
                    </a:prstGeom>
                    <a:noFill/>
                  </pic:spPr>
                </pic:pic>
              </a:graphicData>
            </a:graphic>
          </wp:inline>
        </w:drawing>
      </w:r>
    </w:p>
    <w:p w:rsidR="00666696" w:rsidRDefault="00666696" w:rsidP="00A654F4">
      <w:pPr>
        <w:rPr>
          <w:rFonts w:ascii="Times New Roman" w:hAnsi="Times New Roman" w:cs="Times New Roman"/>
          <w:b/>
          <w:bCs/>
          <w:sz w:val="24"/>
          <w:szCs w:val="24"/>
        </w:rPr>
      </w:pPr>
    </w:p>
    <w:p w:rsidR="00666696" w:rsidRDefault="00666696" w:rsidP="00A654F4">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063F8F">
        <w:rPr>
          <w:rFonts w:ascii="Times New Roman" w:hAnsi="Times New Roman" w:cs="Times New Roman"/>
          <w:b/>
          <w:bCs/>
          <w:sz w:val="24"/>
          <w:szCs w:val="24"/>
        </w:rPr>
        <w:t>14</w:t>
      </w:r>
    </w:p>
    <w:p w:rsidR="00757CAD" w:rsidRDefault="00063F8F" w:rsidP="00A654F4">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66158" cy="5262113"/>
            <wp:effectExtent l="19050" t="0" r="0"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srcRect/>
                    <a:stretch>
                      <a:fillRect/>
                    </a:stretch>
                  </pic:blipFill>
                  <pic:spPr bwMode="auto">
                    <a:xfrm>
                      <a:off x="0" y="0"/>
                      <a:ext cx="8864677" cy="5261234"/>
                    </a:xfrm>
                    <a:prstGeom prst="rect">
                      <a:avLst/>
                    </a:prstGeom>
                    <a:noFill/>
                  </pic:spPr>
                </pic:pic>
              </a:graphicData>
            </a:graphic>
          </wp:inline>
        </w:drawing>
      </w:r>
    </w:p>
    <w:p w:rsidR="005440EE" w:rsidRPr="001A728B" w:rsidRDefault="005440EE" w:rsidP="0047712E">
      <w:pPr>
        <w:rPr>
          <w:rFonts w:ascii="Times New Roman" w:hAnsi="Times New Roman" w:cs="Times New Roman"/>
          <w:bCs/>
          <w:sz w:val="24"/>
          <w:szCs w:val="24"/>
        </w:rPr>
        <w:sectPr w:rsidR="005440EE" w:rsidRPr="001A728B" w:rsidSect="001A728B">
          <w:endnotePr>
            <w:numFmt w:val="decimal"/>
          </w:endnotePr>
          <w:pgSz w:w="16838" w:h="11906" w:orient="landscape"/>
          <w:pgMar w:top="1440" w:right="1440" w:bottom="1440" w:left="1440" w:header="708" w:footer="708" w:gutter="0"/>
          <w:cols w:space="708"/>
          <w:titlePg/>
          <w:docGrid w:linePitch="360"/>
        </w:sectPr>
      </w:pPr>
    </w:p>
    <w:p w:rsidR="000C2672" w:rsidRPr="00920931" w:rsidRDefault="000C2672">
      <w:pPr>
        <w:rPr>
          <w:rFonts w:ascii="Times New Roman" w:hAnsi="Times New Roman" w:cs="Times New Roman"/>
          <w:b/>
          <w:bCs/>
          <w:sz w:val="28"/>
          <w:szCs w:val="28"/>
        </w:rPr>
      </w:pPr>
    </w:p>
    <w:p w:rsidR="00F32B56" w:rsidRPr="00B0603E" w:rsidRDefault="00EA532B">
      <w:pPr>
        <w:rPr>
          <w:rFonts w:ascii="Times New Roman" w:hAnsi="Times New Roman" w:cs="Times New Roman"/>
          <w:b/>
          <w:sz w:val="24"/>
          <w:szCs w:val="24"/>
        </w:rPr>
      </w:pPr>
      <w:r>
        <w:rPr>
          <w:rFonts w:ascii="Times New Roman" w:hAnsi="Times New Roman" w:cs="Times New Roman"/>
          <w:b/>
          <w:bCs/>
          <w:sz w:val="24"/>
          <w:szCs w:val="24"/>
        </w:rPr>
        <w:t xml:space="preserve"> </w:t>
      </w:r>
      <w:r w:rsidR="00123493">
        <w:rPr>
          <w:rFonts w:ascii="Times New Roman" w:hAnsi="Times New Roman" w:cs="Times New Roman"/>
          <w:b/>
          <w:bCs/>
          <w:sz w:val="24"/>
          <w:szCs w:val="24"/>
        </w:rPr>
        <w:t>N</w:t>
      </w:r>
      <w:r w:rsidR="00B0603E" w:rsidRPr="00B0603E">
        <w:rPr>
          <w:rFonts w:ascii="Times New Roman" w:hAnsi="Times New Roman" w:cs="Times New Roman"/>
          <w:b/>
          <w:sz w:val="24"/>
          <w:szCs w:val="24"/>
        </w:rPr>
        <w:t>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373F" w:rsidRDefault="007F373F" w:rsidP="008B170D">
      <w:r>
        <w:separator/>
      </w:r>
    </w:p>
  </w:endnote>
  <w:endnote w:type="continuationSeparator" w:id="0">
    <w:p w:rsidR="007F373F" w:rsidRDefault="007F373F" w:rsidP="008B170D">
      <w:r>
        <w:continuationSeparator/>
      </w:r>
    </w:p>
  </w:endnote>
  <w:endnote w:id="1">
    <w:p w:rsidR="000F1FE0" w:rsidRDefault="000F1FE0" w:rsidP="001962F0">
      <w:pPr>
        <w:rPr>
          <w:sz w:val="20"/>
          <w:szCs w:val="20"/>
        </w:rPr>
      </w:pPr>
      <w:r>
        <w:rPr>
          <w:rStyle w:val="EndnoteReference"/>
        </w:rPr>
        <w:endnoteRef/>
      </w:r>
      <w:r>
        <w:t xml:space="preserve"> </w:t>
      </w:r>
      <w:r>
        <w:rPr>
          <w:sz w:val="20"/>
          <w:szCs w:val="20"/>
        </w:rPr>
        <w:t>Previous Briefings include many analyses that are not repeated here but remain valid. However it should be remembered that the DWP may have made subsequent revisions</w:t>
      </w:r>
      <w:r w:rsidRPr="00F03268">
        <w:rPr>
          <w:sz w:val="20"/>
          <w:szCs w:val="20"/>
        </w:rPr>
        <w:t xml:space="preserve"> </w:t>
      </w:r>
      <w:r>
        <w:rPr>
          <w:sz w:val="20"/>
          <w:szCs w:val="20"/>
        </w:rPr>
        <w:t>to the data reported in earlier Briefings.</w:t>
      </w:r>
      <w:r w:rsidRPr="0023110C">
        <w:rPr>
          <w:sz w:val="20"/>
          <w:szCs w:val="20"/>
        </w:rPr>
        <w:t xml:space="preserve"> </w:t>
      </w:r>
      <w:r>
        <w:rPr>
          <w:sz w:val="20"/>
          <w:szCs w:val="20"/>
        </w:rPr>
        <w:t>These revisions will generally not be major although there are exceptions. There may also often be substantial changes in some figures for the most recent few months.</w:t>
      </w:r>
    </w:p>
    <w:p w:rsidR="000F1FE0" w:rsidRDefault="000F1FE0" w:rsidP="001962F0">
      <w:r>
        <w:rPr>
          <w:sz w:val="20"/>
          <w:szCs w:val="20"/>
        </w:rPr>
        <w:t xml:space="preserve"> </w:t>
      </w:r>
    </w:p>
  </w:endnote>
  <w:endnote w:id="2">
    <w:p w:rsidR="000F1FE0" w:rsidRDefault="000F1FE0">
      <w:pPr>
        <w:pStyle w:val="EndnoteText"/>
      </w:pPr>
      <w:r>
        <w:rPr>
          <w:rStyle w:val="EndnoteReference"/>
        </w:rPr>
        <w:endnoteRef/>
      </w:r>
      <w:r>
        <w:t xml:space="preserve"> </w:t>
      </w:r>
      <w:proofErr w:type="gramStart"/>
      <w:r>
        <w:t>A DWP report on the progress of managed migration (DWP 2023a) states that the final migration of claimants from old-style JSA to UC may not be completed before the end of 2024/25.</w:t>
      </w:r>
      <w:proofErr w:type="gramEnd"/>
      <w:r>
        <w:t xml:space="preserve"> Old-style JSA is already closed to new claimants.</w:t>
      </w:r>
    </w:p>
    <w:p w:rsidR="000F1FE0" w:rsidRDefault="000F1FE0">
      <w:pPr>
        <w:pStyle w:val="EndnoteText"/>
      </w:pPr>
    </w:p>
  </w:endnote>
  <w:endnote w:id="3">
    <w:p w:rsidR="000F1FE0" w:rsidRDefault="000F1FE0">
      <w:pPr>
        <w:pStyle w:val="EndnoteText"/>
      </w:pPr>
      <w:r>
        <w:rPr>
          <w:rStyle w:val="EndnoteReference"/>
        </w:rPr>
        <w:endnoteRef/>
      </w:r>
      <w:r>
        <w:t xml:space="preserve"> Statistics on ‘managed migration’ to UC can be found at  </w:t>
      </w:r>
      <w:hyperlink r:id="rId1" w:history="1">
        <w:r w:rsidRPr="009B30B5">
          <w:rPr>
            <w:rStyle w:val="Hyperlink"/>
          </w:rPr>
          <w:t>https://www.gov.uk/government/collections/move-to-universal-credit-statistics</w:t>
        </w:r>
      </w:hyperlink>
      <w:r>
        <w:t xml:space="preserve"> </w:t>
      </w:r>
    </w:p>
    <w:p w:rsidR="000F1FE0" w:rsidRDefault="000F1FE0">
      <w:pPr>
        <w:pStyle w:val="EndnoteText"/>
      </w:pPr>
    </w:p>
  </w:endnote>
  <w:endnote w:id="4">
    <w:p w:rsidR="0047525E" w:rsidRDefault="0047525E">
      <w:pPr>
        <w:pStyle w:val="EndnoteText"/>
      </w:pPr>
      <w:r>
        <w:rPr>
          <w:rStyle w:val="EndnoteReference"/>
        </w:rPr>
        <w:endnoteRef/>
      </w:r>
      <w:r>
        <w:t xml:space="preserve"> The DWP’s Stat-Xplore offers both a detailed and a summary set of reasons</w:t>
      </w:r>
      <w:r w:rsidR="00B053F2">
        <w:t xml:space="preserve"> for sanctions</w:t>
      </w:r>
      <w:r>
        <w:t>. Only the latter is used here.</w:t>
      </w:r>
    </w:p>
    <w:p w:rsidR="0047525E" w:rsidRDefault="0047525E">
      <w:pPr>
        <w:pStyle w:val="EndnoteText"/>
      </w:pPr>
    </w:p>
  </w:endnote>
  <w:endnote w:id="5">
    <w:p w:rsidR="000F1FE0" w:rsidRDefault="000F1FE0">
      <w:pPr>
        <w:pStyle w:val="EndnoteText"/>
      </w:pPr>
      <w:r>
        <w:rPr>
          <w:rStyle w:val="EndnoteReference"/>
        </w:rPr>
        <w:endnoteRef/>
      </w:r>
      <w:r>
        <w:t xml:space="preserve"> Under the procedure for calculating an approximate mean from a frequency distribution we assume that all the cases in each class interval have the value of its mid-point, and for the top, open class interval we make some reasonable assumption. In this case the mid-point of the top class interval ‘183 days or more’ is assumed to be 200 days. The detailed weekly frequency distributions given in the DWP’s Benefit Sanctions Statistics Table 3.1 are used</w:t>
      </w:r>
      <w:r w:rsidR="006119D4">
        <w:t>, not the summary class intervals used in Figures 10 and 11</w:t>
      </w:r>
      <w:r>
        <w:t>.</w:t>
      </w:r>
    </w:p>
    <w:p w:rsidR="000F1FE0" w:rsidRDefault="000F1FE0">
      <w:pPr>
        <w:pStyle w:val="EndnoteText"/>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Sensibility Extra Bold">
    <w:altName w:val="Sensibility Extra Bold"/>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Roboto Medium">
    <w:altName w:val="Roboto Medium"/>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373F" w:rsidRDefault="007F373F" w:rsidP="008B170D">
      <w:r>
        <w:separator/>
      </w:r>
    </w:p>
  </w:footnote>
  <w:footnote w:type="continuationSeparator" w:id="0">
    <w:p w:rsidR="007F373F" w:rsidRDefault="007F373F" w:rsidP="008B17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1FE0" w:rsidRDefault="00E664F4">
    <w:pPr>
      <w:pStyle w:val="Header"/>
      <w:jc w:val="center"/>
    </w:pPr>
    <w:fldSimple w:instr=" PAGE   \* MERGEFORMAT ">
      <w:r w:rsidR="00EB25EE">
        <w:rPr>
          <w:noProof/>
        </w:rPr>
        <w:t>2</w:t>
      </w:r>
    </w:fldSimple>
  </w:p>
  <w:p w:rsidR="000F1FE0" w:rsidRDefault="000F1F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B7CE3"/>
    <w:multiLevelType w:val="hybridMultilevel"/>
    <w:tmpl w:val="847866A4"/>
    <w:lvl w:ilvl="0" w:tplc="0914B73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804D87"/>
    <w:multiLevelType w:val="hybridMultilevel"/>
    <w:tmpl w:val="9968D0F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6E1736"/>
    <w:multiLevelType w:val="multilevel"/>
    <w:tmpl w:val="B400E9BE"/>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Calibr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665BC1"/>
    <w:multiLevelType w:val="multilevel"/>
    <w:tmpl w:val="A4DA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C402DC"/>
    <w:multiLevelType w:val="multilevel"/>
    <w:tmpl w:val="E3D0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2E299A"/>
    <w:multiLevelType w:val="hybridMultilevel"/>
    <w:tmpl w:val="8DD0E94C"/>
    <w:lvl w:ilvl="0" w:tplc="7884C61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363ED4"/>
    <w:multiLevelType w:val="hybridMultilevel"/>
    <w:tmpl w:val="040C7F68"/>
    <w:lvl w:ilvl="0" w:tplc="191A4FFC">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8A825A3"/>
    <w:multiLevelType w:val="multilevel"/>
    <w:tmpl w:val="533E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352E4A"/>
    <w:multiLevelType w:val="multilevel"/>
    <w:tmpl w:val="FEBE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643D84"/>
    <w:multiLevelType w:val="multilevel"/>
    <w:tmpl w:val="5AB0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690C9A"/>
    <w:multiLevelType w:val="hybridMultilevel"/>
    <w:tmpl w:val="32A8BD4E"/>
    <w:lvl w:ilvl="0" w:tplc="BBB8309C">
      <w:start w:val="10"/>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0AB7C03"/>
    <w:multiLevelType w:val="hybridMultilevel"/>
    <w:tmpl w:val="625CBF12"/>
    <w:lvl w:ilvl="0" w:tplc="E80E26E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18A63F2"/>
    <w:multiLevelType w:val="hybridMultilevel"/>
    <w:tmpl w:val="EBD2950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1DF2B94"/>
    <w:multiLevelType w:val="multilevel"/>
    <w:tmpl w:val="334A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9F6BF1"/>
    <w:multiLevelType w:val="hybridMultilevel"/>
    <w:tmpl w:val="49A844EC"/>
    <w:lvl w:ilvl="0" w:tplc="D26AA6D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64F52D9"/>
    <w:multiLevelType w:val="hybridMultilevel"/>
    <w:tmpl w:val="AB708788"/>
    <w:lvl w:ilvl="0" w:tplc="8D601046">
      <w:numFmt w:val="bullet"/>
      <w:lvlText w:val=""/>
      <w:lvlJc w:val="left"/>
      <w:pPr>
        <w:ind w:left="1080" w:hanging="360"/>
      </w:pPr>
      <w:rPr>
        <w:rFonts w:ascii="Symbol" w:eastAsia="Calibr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2910124C"/>
    <w:multiLevelType w:val="hybridMultilevel"/>
    <w:tmpl w:val="0CD46540"/>
    <w:lvl w:ilvl="0" w:tplc="ADE4804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A6F1533"/>
    <w:multiLevelType w:val="hybridMultilevel"/>
    <w:tmpl w:val="06DEC298"/>
    <w:lvl w:ilvl="0" w:tplc="C7B8592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A9B3DA1"/>
    <w:multiLevelType w:val="multilevel"/>
    <w:tmpl w:val="F8FEC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CC66A1E"/>
    <w:multiLevelType w:val="multilevel"/>
    <w:tmpl w:val="A64E9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2430064"/>
    <w:multiLevelType w:val="hybridMultilevel"/>
    <w:tmpl w:val="F37A4470"/>
    <w:lvl w:ilvl="0" w:tplc="B5564A4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3DA699F"/>
    <w:multiLevelType w:val="hybridMultilevel"/>
    <w:tmpl w:val="45042C7E"/>
    <w:lvl w:ilvl="0" w:tplc="95B4A02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48E6676"/>
    <w:multiLevelType w:val="hybridMultilevel"/>
    <w:tmpl w:val="CEC4B782"/>
    <w:lvl w:ilvl="0" w:tplc="6E40221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62B555C"/>
    <w:multiLevelType w:val="hybridMultilevel"/>
    <w:tmpl w:val="822C6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73F1E24"/>
    <w:multiLevelType w:val="hybridMultilevel"/>
    <w:tmpl w:val="AB928DA6"/>
    <w:lvl w:ilvl="0" w:tplc="612892C2">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8A2617D"/>
    <w:multiLevelType w:val="hybridMultilevel"/>
    <w:tmpl w:val="DFC648D2"/>
    <w:lvl w:ilvl="0" w:tplc="B52496B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nsid w:val="39B47514"/>
    <w:multiLevelType w:val="multilevel"/>
    <w:tmpl w:val="A1F47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C373DCE"/>
    <w:multiLevelType w:val="multilevel"/>
    <w:tmpl w:val="A0BE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54725E"/>
    <w:multiLevelType w:val="multilevel"/>
    <w:tmpl w:val="9D64B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DA240E8"/>
    <w:multiLevelType w:val="multilevel"/>
    <w:tmpl w:val="6E263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EB022AB"/>
    <w:multiLevelType w:val="hybridMultilevel"/>
    <w:tmpl w:val="D4902956"/>
    <w:lvl w:ilvl="0" w:tplc="B076529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5CF5486"/>
    <w:multiLevelType w:val="hybridMultilevel"/>
    <w:tmpl w:val="9564A7E8"/>
    <w:lvl w:ilvl="0" w:tplc="12545C9E">
      <w:start w:val="2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90B7D5B"/>
    <w:multiLevelType w:val="hybridMultilevel"/>
    <w:tmpl w:val="C5700862"/>
    <w:lvl w:ilvl="0" w:tplc="28F4A5CA">
      <w:start w:val="2"/>
      <w:numFmt w:val="bullet"/>
      <w:lvlText w:val=""/>
      <w:lvlJc w:val="left"/>
      <w:pPr>
        <w:ind w:left="720" w:hanging="360"/>
      </w:pPr>
      <w:rPr>
        <w:rFonts w:ascii="Symbol" w:eastAsia="Times New Roman" w:hAnsi="Symbol" w:cs="Tahoma"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D5D1F92"/>
    <w:multiLevelType w:val="multilevel"/>
    <w:tmpl w:val="BDC6E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E3C116B"/>
    <w:multiLevelType w:val="hybridMultilevel"/>
    <w:tmpl w:val="138EA7DC"/>
    <w:lvl w:ilvl="0" w:tplc="949A4616">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F2C1DD9"/>
    <w:multiLevelType w:val="hybridMultilevel"/>
    <w:tmpl w:val="41EAFAD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08E1702"/>
    <w:multiLevelType w:val="multilevel"/>
    <w:tmpl w:val="C7D0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524B4633"/>
    <w:multiLevelType w:val="multilevel"/>
    <w:tmpl w:val="B446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536D407B"/>
    <w:multiLevelType w:val="multilevel"/>
    <w:tmpl w:val="E632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49A6A7B"/>
    <w:multiLevelType w:val="hybridMultilevel"/>
    <w:tmpl w:val="375898D2"/>
    <w:lvl w:ilvl="0" w:tplc="591AA062">
      <w:numFmt w:val="bullet"/>
      <w:lvlText w:val=""/>
      <w:lvlJc w:val="left"/>
      <w:pPr>
        <w:ind w:left="720" w:hanging="360"/>
      </w:pPr>
      <w:rPr>
        <w:rFonts w:ascii="Symbol" w:eastAsia="Calibri" w:hAnsi="Symbol" w:cs="Aria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3B2005E"/>
    <w:multiLevelType w:val="hybridMultilevel"/>
    <w:tmpl w:val="CCF43F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7EF0717"/>
    <w:multiLevelType w:val="multilevel"/>
    <w:tmpl w:val="6DB8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B47566D"/>
    <w:multiLevelType w:val="hybridMultilevel"/>
    <w:tmpl w:val="5BEE34A8"/>
    <w:lvl w:ilvl="0" w:tplc="224AD23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17449CB"/>
    <w:multiLevelType w:val="multilevel"/>
    <w:tmpl w:val="749A9D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45F3976"/>
    <w:multiLevelType w:val="hybridMultilevel"/>
    <w:tmpl w:val="7E0AE600"/>
    <w:lvl w:ilvl="0" w:tplc="5494067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97265C7"/>
    <w:multiLevelType w:val="hybridMultilevel"/>
    <w:tmpl w:val="1D3AAB0A"/>
    <w:lvl w:ilvl="0" w:tplc="6884E71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A961E6D"/>
    <w:multiLevelType w:val="hybridMultilevel"/>
    <w:tmpl w:val="7FC662EE"/>
    <w:lvl w:ilvl="0" w:tplc="5C243E2C">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C81314D"/>
    <w:multiLevelType w:val="hybridMultilevel"/>
    <w:tmpl w:val="B3D0E516"/>
    <w:lvl w:ilvl="0" w:tplc="C17A136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4"/>
  </w:num>
  <w:num w:numId="2">
    <w:abstractNumId w:val="39"/>
  </w:num>
  <w:num w:numId="3">
    <w:abstractNumId w:val="47"/>
  </w:num>
  <w:num w:numId="4">
    <w:abstractNumId w:val="25"/>
  </w:num>
  <w:num w:numId="5">
    <w:abstractNumId w:val="20"/>
  </w:num>
  <w:num w:numId="6">
    <w:abstractNumId w:val="13"/>
  </w:num>
  <w:num w:numId="7">
    <w:abstractNumId w:val="38"/>
  </w:num>
  <w:num w:numId="8">
    <w:abstractNumId w:val="41"/>
  </w:num>
  <w:num w:numId="9">
    <w:abstractNumId w:val="27"/>
  </w:num>
  <w:num w:numId="10">
    <w:abstractNumId w:val="29"/>
  </w:num>
  <w:num w:numId="11">
    <w:abstractNumId w:val="1"/>
  </w:num>
  <w:num w:numId="12">
    <w:abstractNumId w:val="10"/>
  </w:num>
  <w:num w:numId="13">
    <w:abstractNumId w:val="23"/>
  </w:num>
  <w:num w:numId="14">
    <w:abstractNumId w:val="15"/>
  </w:num>
  <w:num w:numId="15">
    <w:abstractNumId w:val="16"/>
  </w:num>
  <w:num w:numId="16">
    <w:abstractNumId w:val="34"/>
  </w:num>
  <w:num w:numId="17">
    <w:abstractNumId w:val="45"/>
  </w:num>
  <w:num w:numId="18">
    <w:abstractNumId w:val="40"/>
  </w:num>
  <w:num w:numId="19">
    <w:abstractNumId w:val="11"/>
  </w:num>
  <w:num w:numId="20">
    <w:abstractNumId w:val="17"/>
  </w:num>
  <w:num w:numId="21">
    <w:abstractNumId w:val="21"/>
  </w:num>
  <w:num w:numId="22">
    <w:abstractNumId w:val="19"/>
  </w:num>
  <w:num w:numId="23">
    <w:abstractNumId w:val="26"/>
  </w:num>
  <w:num w:numId="24">
    <w:abstractNumId w:val="35"/>
  </w:num>
  <w:num w:numId="25">
    <w:abstractNumId w:val="12"/>
  </w:num>
  <w:num w:numId="26">
    <w:abstractNumId w:val="8"/>
  </w:num>
  <w:num w:numId="27">
    <w:abstractNumId w:val="2"/>
  </w:num>
  <w:num w:numId="28">
    <w:abstractNumId w:val="43"/>
  </w:num>
  <w:num w:numId="29">
    <w:abstractNumId w:val="36"/>
  </w:num>
  <w:num w:numId="30">
    <w:abstractNumId w:val="37"/>
  </w:num>
  <w:num w:numId="31">
    <w:abstractNumId w:val="32"/>
  </w:num>
  <w:num w:numId="32">
    <w:abstractNumId w:val="42"/>
  </w:num>
  <w:num w:numId="33">
    <w:abstractNumId w:val="31"/>
  </w:num>
  <w:num w:numId="34">
    <w:abstractNumId w:val="6"/>
  </w:num>
  <w:num w:numId="35">
    <w:abstractNumId w:val="22"/>
  </w:num>
  <w:num w:numId="36">
    <w:abstractNumId w:val="5"/>
  </w:num>
  <w:num w:numId="37">
    <w:abstractNumId w:val="28"/>
  </w:num>
  <w:num w:numId="38">
    <w:abstractNumId w:val="44"/>
  </w:num>
  <w:num w:numId="39">
    <w:abstractNumId w:val="0"/>
  </w:num>
  <w:num w:numId="40">
    <w:abstractNumId w:val="9"/>
  </w:num>
  <w:num w:numId="41">
    <w:abstractNumId w:val="18"/>
  </w:num>
  <w:num w:numId="42">
    <w:abstractNumId w:val="3"/>
  </w:num>
  <w:num w:numId="43">
    <w:abstractNumId w:val="33"/>
  </w:num>
  <w:num w:numId="44">
    <w:abstractNumId w:val="4"/>
  </w:num>
  <w:num w:numId="45">
    <w:abstractNumId w:val="46"/>
  </w:num>
  <w:num w:numId="46">
    <w:abstractNumId w:val="30"/>
  </w:num>
  <w:num w:numId="47">
    <w:abstractNumId w:val="7"/>
  </w:num>
  <w:num w:numId="48">
    <w:abstractNumId w:val="2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defaultTabStop w:val="720"/>
  <w:drawingGridHorizontalSpacing w:val="110"/>
  <w:displayHorizontalDrawingGridEvery w:val="2"/>
  <w:characterSpacingControl w:val="doNotCompress"/>
  <w:doNotValidateAgainstSchema/>
  <w:doNotDemarcateInvalidXml/>
  <w:hdrShapeDefaults>
    <o:shapedefaults v:ext="edit" spidmax="1576962"/>
  </w:hdrShapeDefaults>
  <w:footnotePr>
    <w:footnote w:id="-1"/>
    <w:footnote w:id="0"/>
  </w:footnotePr>
  <w:endnotePr>
    <w:numFmt w:val="decimal"/>
    <w:endnote w:id="-1"/>
    <w:endnote w:id="0"/>
  </w:endnotePr>
  <w:compat/>
  <w:rsids>
    <w:rsidRoot w:val="00E935DC"/>
    <w:rsid w:val="00000193"/>
    <w:rsid w:val="0000020B"/>
    <w:rsid w:val="0000072B"/>
    <w:rsid w:val="00000784"/>
    <w:rsid w:val="00000B83"/>
    <w:rsid w:val="000013E2"/>
    <w:rsid w:val="00001463"/>
    <w:rsid w:val="00001671"/>
    <w:rsid w:val="00001824"/>
    <w:rsid w:val="0000192C"/>
    <w:rsid w:val="00001C3B"/>
    <w:rsid w:val="00001E14"/>
    <w:rsid w:val="0000228C"/>
    <w:rsid w:val="00002300"/>
    <w:rsid w:val="00002637"/>
    <w:rsid w:val="00002B69"/>
    <w:rsid w:val="00002C3C"/>
    <w:rsid w:val="000039C8"/>
    <w:rsid w:val="00003DE3"/>
    <w:rsid w:val="00003FDC"/>
    <w:rsid w:val="00004100"/>
    <w:rsid w:val="000047A5"/>
    <w:rsid w:val="00005080"/>
    <w:rsid w:val="000050F5"/>
    <w:rsid w:val="00005955"/>
    <w:rsid w:val="000059CF"/>
    <w:rsid w:val="00005CB8"/>
    <w:rsid w:val="00006652"/>
    <w:rsid w:val="00006717"/>
    <w:rsid w:val="00006C03"/>
    <w:rsid w:val="00006F8F"/>
    <w:rsid w:val="000072D2"/>
    <w:rsid w:val="00007314"/>
    <w:rsid w:val="000076F5"/>
    <w:rsid w:val="0000778F"/>
    <w:rsid w:val="0000782D"/>
    <w:rsid w:val="0000794B"/>
    <w:rsid w:val="000079D4"/>
    <w:rsid w:val="00007BEB"/>
    <w:rsid w:val="00007CD7"/>
    <w:rsid w:val="000100F9"/>
    <w:rsid w:val="000101B4"/>
    <w:rsid w:val="00010AC8"/>
    <w:rsid w:val="00010FE6"/>
    <w:rsid w:val="0001149E"/>
    <w:rsid w:val="00011C3E"/>
    <w:rsid w:val="000120CC"/>
    <w:rsid w:val="000120D1"/>
    <w:rsid w:val="00012112"/>
    <w:rsid w:val="00012131"/>
    <w:rsid w:val="000125F0"/>
    <w:rsid w:val="00012A9A"/>
    <w:rsid w:val="00013140"/>
    <w:rsid w:val="000137B2"/>
    <w:rsid w:val="000139FA"/>
    <w:rsid w:val="00013B79"/>
    <w:rsid w:val="00014159"/>
    <w:rsid w:val="00014601"/>
    <w:rsid w:val="00014606"/>
    <w:rsid w:val="0001480B"/>
    <w:rsid w:val="00014997"/>
    <w:rsid w:val="00014FC7"/>
    <w:rsid w:val="00015439"/>
    <w:rsid w:val="00015AA9"/>
    <w:rsid w:val="00015B75"/>
    <w:rsid w:val="00015BFA"/>
    <w:rsid w:val="00015FB8"/>
    <w:rsid w:val="0001609A"/>
    <w:rsid w:val="000160CC"/>
    <w:rsid w:val="00016403"/>
    <w:rsid w:val="00016587"/>
    <w:rsid w:val="0001676F"/>
    <w:rsid w:val="00016A43"/>
    <w:rsid w:val="00016C18"/>
    <w:rsid w:val="00016E8F"/>
    <w:rsid w:val="000170EA"/>
    <w:rsid w:val="000174BB"/>
    <w:rsid w:val="000212C9"/>
    <w:rsid w:val="0002160F"/>
    <w:rsid w:val="00021935"/>
    <w:rsid w:val="00021C57"/>
    <w:rsid w:val="00021EAC"/>
    <w:rsid w:val="000220BA"/>
    <w:rsid w:val="00022467"/>
    <w:rsid w:val="000224C8"/>
    <w:rsid w:val="0002277D"/>
    <w:rsid w:val="00022CD7"/>
    <w:rsid w:val="000233EF"/>
    <w:rsid w:val="000237B6"/>
    <w:rsid w:val="00023834"/>
    <w:rsid w:val="00023884"/>
    <w:rsid w:val="00023958"/>
    <w:rsid w:val="00024237"/>
    <w:rsid w:val="00024524"/>
    <w:rsid w:val="000246BF"/>
    <w:rsid w:val="00024AEB"/>
    <w:rsid w:val="00024B1A"/>
    <w:rsid w:val="00024B9C"/>
    <w:rsid w:val="000251C3"/>
    <w:rsid w:val="000253E4"/>
    <w:rsid w:val="000255D5"/>
    <w:rsid w:val="000263EC"/>
    <w:rsid w:val="00026629"/>
    <w:rsid w:val="0002665A"/>
    <w:rsid w:val="000266E9"/>
    <w:rsid w:val="00026D63"/>
    <w:rsid w:val="00027865"/>
    <w:rsid w:val="00027C3E"/>
    <w:rsid w:val="000301A4"/>
    <w:rsid w:val="000308C7"/>
    <w:rsid w:val="000310E5"/>
    <w:rsid w:val="0003132C"/>
    <w:rsid w:val="00031C44"/>
    <w:rsid w:val="00031E21"/>
    <w:rsid w:val="000321D0"/>
    <w:rsid w:val="00032404"/>
    <w:rsid w:val="000326BA"/>
    <w:rsid w:val="00032A38"/>
    <w:rsid w:val="00032BC9"/>
    <w:rsid w:val="000331FF"/>
    <w:rsid w:val="00033B5A"/>
    <w:rsid w:val="00033CA7"/>
    <w:rsid w:val="00033D7A"/>
    <w:rsid w:val="00033DC0"/>
    <w:rsid w:val="000340FF"/>
    <w:rsid w:val="00034136"/>
    <w:rsid w:val="0003482D"/>
    <w:rsid w:val="0003488A"/>
    <w:rsid w:val="00034B80"/>
    <w:rsid w:val="00034C40"/>
    <w:rsid w:val="00034D78"/>
    <w:rsid w:val="00035495"/>
    <w:rsid w:val="00035606"/>
    <w:rsid w:val="000356F8"/>
    <w:rsid w:val="00035832"/>
    <w:rsid w:val="000359C7"/>
    <w:rsid w:val="00035E3E"/>
    <w:rsid w:val="00035E75"/>
    <w:rsid w:val="00035FF3"/>
    <w:rsid w:val="0003633B"/>
    <w:rsid w:val="000367C8"/>
    <w:rsid w:val="000368CD"/>
    <w:rsid w:val="00036EF2"/>
    <w:rsid w:val="00036FAD"/>
    <w:rsid w:val="00037158"/>
    <w:rsid w:val="000373E2"/>
    <w:rsid w:val="000377CE"/>
    <w:rsid w:val="000379FE"/>
    <w:rsid w:val="00037F3A"/>
    <w:rsid w:val="000400BC"/>
    <w:rsid w:val="000400BF"/>
    <w:rsid w:val="000401FC"/>
    <w:rsid w:val="000405FE"/>
    <w:rsid w:val="0004077D"/>
    <w:rsid w:val="00040A94"/>
    <w:rsid w:val="0004102E"/>
    <w:rsid w:val="000410F7"/>
    <w:rsid w:val="00041310"/>
    <w:rsid w:val="00041406"/>
    <w:rsid w:val="000415E9"/>
    <w:rsid w:val="000416CE"/>
    <w:rsid w:val="00041C98"/>
    <w:rsid w:val="00041F52"/>
    <w:rsid w:val="00041F9F"/>
    <w:rsid w:val="00041FBF"/>
    <w:rsid w:val="00042736"/>
    <w:rsid w:val="000428FF"/>
    <w:rsid w:val="00042A8D"/>
    <w:rsid w:val="00042B63"/>
    <w:rsid w:val="00042BF5"/>
    <w:rsid w:val="00042CA4"/>
    <w:rsid w:val="00042FFC"/>
    <w:rsid w:val="000430D3"/>
    <w:rsid w:val="00043587"/>
    <w:rsid w:val="00043DDE"/>
    <w:rsid w:val="00043F00"/>
    <w:rsid w:val="00043F01"/>
    <w:rsid w:val="00044199"/>
    <w:rsid w:val="00044225"/>
    <w:rsid w:val="00044980"/>
    <w:rsid w:val="00044A70"/>
    <w:rsid w:val="00044CCA"/>
    <w:rsid w:val="0004520E"/>
    <w:rsid w:val="00045284"/>
    <w:rsid w:val="00045299"/>
    <w:rsid w:val="000454FF"/>
    <w:rsid w:val="00045886"/>
    <w:rsid w:val="00045AF6"/>
    <w:rsid w:val="00045C9F"/>
    <w:rsid w:val="00045CE1"/>
    <w:rsid w:val="00045D75"/>
    <w:rsid w:val="00045F6A"/>
    <w:rsid w:val="000462DB"/>
    <w:rsid w:val="00046482"/>
    <w:rsid w:val="000464DD"/>
    <w:rsid w:val="00046803"/>
    <w:rsid w:val="0004681D"/>
    <w:rsid w:val="00046CFB"/>
    <w:rsid w:val="000477AB"/>
    <w:rsid w:val="00047C1D"/>
    <w:rsid w:val="00047F08"/>
    <w:rsid w:val="0005041A"/>
    <w:rsid w:val="00050583"/>
    <w:rsid w:val="0005095D"/>
    <w:rsid w:val="0005097F"/>
    <w:rsid w:val="00050B77"/>
    <w:rsid w:val="00050BFD"/>
    <w:rsid w:val="00050C63"/>
    <w:rsid w:val="00050FD9"/>
    <w:rsid w:val="00051B44"/>
    <w:rsid w:val="00051FF9"/>
    <w:rsid w:val="000522B4"/>
    <w:rsid w:val="00052A63"/>
    <w:rsid w:val="00052A65"/>
    <w:rsid w:val="00052E44"/>
    <w:rsid w:val="00053060"/>
    <w:rsid w:val="0005342D"/>
    <w:rsid w:val="00053798"/>
    <w:rsid w:val="0005397E"/>
    <w:rsid w:val="00053B50"/>
    <w:rsid w:val="00053C39"/>
    <w:rsid w:val="00053D84"/>
    <w:rsid w:val="00053EB1"/>
    <w:rsid w:val="00054200"/>
    <w:rsid w:val="000542F5"/>
    <w:rsid w:val="00054D2D"/>
    <w:rsid w:val="00054ED2"/>
    <w:rsid w:val="00055CAB"/>
    <w:rsid w:val="00055CB5"/>
    <w:rsid w:val="00056183"/>
    <w:rsid w:val="0005645F"/>
    <w:rsid w:val="00056866"/>
    <w:rsid w:val="000568D5"/>
    <w:rsid w:val="00056959"/>
    <w:rsid w:val="00056AFF"/>
    <w:rsid w:val="00056C49"/>
    <w:rsid w:val="0005747D"/>
    <w:rsid w:val="00057A74"/>
    <w:rsid w:val="000600F8"/>
    <w:rsid w:val="0006050E"/>
    <w:rsid w:val="00060556"/>
    <w:rsid w:val="00060C4F"/>
    <w:rsid w:val="00060C95"/>
    <w:rsid w:val="00060E9A"/>
    <w:rsid w:val="00061779"/>
    <w:rsid w:val="00061871"/>
    <w:rsid w:val="00061973"/>
    <w:rsid w:val="00061B68"/>
    <w:rsid w:val="00062054"/>
    <w:rsid w:val="000621A7"/>
    <w:rsid w:val="0006223D"/>
    <w:rsid w:val="00062692"/>
    <w:rsid w:val="00062AFF"/>
    <w:rsid w:val="00062B23"/>
    <w:rsid w:val="000631AF"/>
    <w:rsid w:val="000634E3"/>
    <w:rsid w:val="00063537"/>
    <w:rsid w:val="00063E9A"/>
    <w:rsid w:val="00063F8F"/>
    <w:rsid w:val="00064697"/>
    <w:rsid w:val="00064D6E"/>
    <w:rsid w:val="00064FE9"/>
    <w:rsid w:val="00065027"/>
    <w:rsid w:val="000658DC"/>
    <w:rsid w:val="000659E6"/>
    <w:rsid w:val="00065AE0"/>
    <w:rsid w:val="00065C0E"/>
    <w:rsid w:val="000660E4"/>
    <w:rsid w:val="0006612B"/>
    <w:rsid w:val="0006676F"/>
    <w:rsid w:val="00066CF9"/>
    <w:rsid w:val="00066DBC"/>
    <w:rsid w:val="00066DC3"/>
    <w:rsid w:val="0006720F"/>
    <w:rsid w:val="00067232"/>
    <w:rsid w:val="000672FD"/>
    <w:rsid w:val="0006766D"/>
    <w:rsid w:val="00067698"/>
    <w:rsid w:val="00067839"/>
    <w:rsid w:val="000701FE"/>
    <w:rsid w:val="0007088B"/>
    <w:rsid w:val="00070891"/>
    <w:rsid w:val="00070A63"/>
    <w:rsid w:val="00070C26"/>
    <w:rsid w:val="00070D56"/>
    <w:rsid w:val="0007106F"/>
    <w:rsid w:val="0007164C"/>
    <w:rsid w:val="000717C7"/>
    <w:rsid w:val="00071ED1"/>
    <w:rsid w:val="00072008"/>
    <w:rsid w:val="00072093"/>
    <w:rsid w:val="00072628"/>
    <w:rsid w:val="00072909"/>
    <w:rsid w:val="00072A69"/>
    <w:rsid w:val="00072B3C"/>
    <w:rsid w:val="00072B66"/>
    <w:rsid w:val="00072E4B"/>
    <w:rsid w:val="0007303B"/>
    <w:rsid w:val="000731E4"/>
    <w:rsid w:val="00073C73"/>
    <w:rsid w:val="00073DD3"/>
    <w:rsid w:val="000742C0"/>
    <w:rsid w:val="00074908"/>
    <w:rsid w:val="00074EA0"/>
    <w:rsid w:val="000755C3"/>
    <w:rsid w:val="000757B6"/>
    <w:rsid w:val="00075F59"/>
    <w:rsid w:val="000765E6"/>
    <w:rsid w:val="00077771"/>
    <w:rsid w:val="00077F67"/>
    <w:rsid w:val="00077FD4"/>
    <w:rsid w:val="0008011B"/>
    <w:rsid w:val="00080501"/>
    <w:rsid w:val="000807E9"/>
    <w:rsid w:val="00080AD7"/>
    <w:rsid w:val="00080F7D"/>
    <w:rsid w:val="00081479"/>
    <w:rsid w:val="000815EE"/>
    <w:rsid w:val="000825E8"/>
    <w:rsid w:val="00082806"/>
    <w:rsid w:val="00082992"/>
    <w:rsid w:val="000829C7"/>
    <w:rsid w:val="00082BBB"/>
    <w:rsid w:val="00082E1B"/>
    <w:rsid w:val="0008304A"/>
    <w:rsid w:val="00083262"/>
    <w:rsid w:val="00083617"/>
    <w:rsid w:val="00083865"/>
    <w:rsid w:val="00083C29"/>
    <w:rsid w:val="00083EF0"/>
    <w:rsid w:val="00083F77"/>
    <w:rsid w:val="000848B8"/>
    <w:rsid w:val="00084D70"/>
    <w:rsid w:val="000858F1"/>
    <w:rsid w:val="00085B16"/>
    <w:rsid w:val="000861DB"/>
    <w:rsid w:val="00086420"/>
    <w:rsid w:val="000864E6"/>
    <w:rsid w:val="00086524"/>
    <w:rsid w:val="000867A0"/>
    <w:rsid w:val="00086CBE"/>
    <w:rsid w:val="00086FAC"/>
    <w:rsid w:val="000871E2"/>
    <w:rsid w:val="00087245"/>
    <w:rsid w:val="0008754B"/>
    <w:rsid w:val="00087977"/>
    <w:rsid w:val="00087A7F"/>
    <w:rsid w:val="00087C99"/>
    <w:rsid w:val="00087D0B"/>
    <w:rsid w:val="00087FFB"/>
    <w:rsid w:val="000900FE"/>
    <w:rsid w:val="00090107"/>
    <w:rsid w:val="0009032F"/>
    <w:rsid w:val="00090491"/>
    <w:rsid w:val="0009052C"/>
    <w:rsid w:val="000908C6"/>
    <w:rsid w:val="00090FAB"/>
    <w:rsid w:val="00091169"/>
    <w:rsid w:val="0009144C"/>
    <w:rsid w:val="000914B2"/>
    <w:rsid w:val="00091EC8"/>
    <w:rsid w:val="00091ED6"/>
    <w:rsid w:val="0009232F"/>
    <w:rsid w:val="0009273A"/>
    <w:rsid w:val="00092C0B"/>
    <w:rsid w:val="00093032"/>
    <w:rsid w:val="000932C4"/>
    <w:rsid w:val="0009345F"/>
    <w:rsid w:val="0009360A"/>
    <w:rsid w:val="000939E5"/>
    <w:rsid w:val="00093E0E"/>
    <w:rsid w:val="0009466A"/>
    <w:rsid w:val="00094C1B"/>
    <w:rsid w:val="00094EDF"/>
    <w:rsid w:val="00095341"/>
    <w:rsid w:val="00095346"/>
    <w:rsid w:val="000953C2"/>
    <w:rsid w:val="00095ACA"/>
    <w:rsid w:val="00095F31"/>
    <w:rsid w:val="00096149"/>
    <w:rsid w:val="00096794"/>
    <w:rsid w:val="000967B9"/>
    <w:rsid w:val="00096A64"/>
    <w:rsid w:val="00096A93"/>
    <w:rsid w:val="00096BE5"/>
    <w:rsid w:val="00096D5B"/>
    <w:rsid w:val="00097044"/>
    <w:rsid w:val="0009774F"/>
    <w:rsid w:val="00097AB0"/>
    <w:rsid w:val="00097C29"/>
    <w:rsid w:val="00097CFC"/>
    <w:rsid w:val="00097E6E"/>
    <w:rsid w:val="000A06D7"/>
    <w:rsid w:val="000A06DB"/>
    <w:rsid w:val="000A0DAC"/>
    <w:rsid w:val="000A17CA"/>
    <w:rsid w:val="000A254B"/>
    <w:rsid w:val="000A275B"/>
    <w:rsid w:val="000A28C7"/>
    <w:rsid w:val="000A29BA"/>
    <w:rsid w:val="000A31B5"/>
    <w:rsid w:val="000A347A"/>
    <w:rsid w:val="000A3503"/>
    <w:rsid w:val="000A366B"/>
    <w:rsid w:val="000A3895"/>
    <w:rsid w:val="000A3C9E"/>
    <w:rsid w:val="000A4802"/>
    <w:rsid w:val="000A4882"/>
    <w:rsid w:val="000A4C6A"/>
    <w:rsid w:val="000A4DDF"/>
    <w:rsid w:val="000A4F5A"/>
    <w:rsid w:val="000A4F92"/>
    <w:rsid w:val="000A5423"/>
    <w:rsid w:val="000A5543"/>
    <w:rsid w:val="000A58A9"/>
    <w:rsid w:val="000A5E0C"/>
    <w:rsid w:val="000A65AC"/>
    <w:rsid w:val="000A65B7"/>
    <w:rsid w:val="000A67BD"/>
    <w:rsid w:val="000A68B3"/>
    <w:rsid w:val="000A6966"/>
    <w:rsid w:val="000A6D2B"/>
    <w:rsid w:val="000A70BA"/>
    <w:rsid w:val="000A70D6"/>
    <w:rsid w:val="000A712B"/>
    <w:rsid w:val="000A728F"/>
    <w:rsid w:val="000A754F"/>
    <w:rsid w:val="000A7599"/>
    <w:rsid w:val="000A7716"/>
    <w:rsid w:val="000A787A"/>
    <w:rsid w:val="000A78E7"/>
    <w:rsid w:val="000A7CC7"/>
    <w:rsid w:val="000A7E53"/>
    <w:rsid w:val="000B050B"/>
    <w:rsid w:val="000B0589"/>
    <w:rsid w:val="000B0BDE"/>
    <w:rsid w:val="000B1568"/>
    <w:rsid w:val="000B1585"/>
    <w:rsid w:val="000B15AB"/>
    <w:rsid w:val="000B18F3"/>
    <w:rsid w:val="000B1A79"/>
    <w:rsid w:val="000B1EEB"/>
    <w:rsid w:val="000B2630"/>
    <w:rsid w:val="000B2A2D"/>
    <w:rsid w:val="000B2C20"/>
    <w:rsid w:val="000B310A"/>
    <w:rsid w:val="000B3153"/>
    <w:rsid w:val="000B32A9"/>
    <w:rsid w:val="000B3652"/>
    <w:rsid w:val="000B36C8"/>
    <w:rsid w:val="000B3AA6"/>
    <w:rsid w:val="000B3E7A"/>
    <w:rsid w:val="000B404B"/>
    <w:rsid w:val="000B43B1"/>
    <w:rsid w:val="000B43FF"/>
    <w:rsid w:val="000B4413"/>
    <w:rsid w:val="000B44A5"/>
    <w:rsid w:val="000B469F"/>
    <w:rsid w:val="000B4CEB"/>
    <w:rsid w:val="000B4FE4"/>
    <w:rsid w:val="000B52B9"/>
    <w:rsid w:val="000B56A7"/>
    <w:rsid w:val="000B59A8"/>
    <w:rsid w:val="000B5A0B"/>
    <w:rsid w:val="000B5AB1"/>
    <w:rsid w:val="000B5BC9"/>
    <w:rsid w:val="000B5D6E"/>
    <w:rsid w:val="000B5DCE"/>
    <w:rsid w:val="000B6190"/>
    <w:rsid w:val="000B642D"/>
    <w:rsid w:val="000B73B0"/>
    <w:rsid w:val="000B73D8"/>
    <w:rsid w:val="000B752E"/>
    <w:rsid w:val="000B75AF"/>
    <w:rsid w:val="000B7783"/>
    <w:rsid w:val="000B7AEF"/>
    <w:rsid w:val="000B7B19"/>
    <w:rsid w:val="000B7DE5"/>
    <w:rsid w:val="000B7F05"/>
    <w:rsid w:val="000C0074"/>
    <w:rsid w:val="000C019D"/>
    <w:rsid w:val="000C05E7"/>
    <w:rsid w:val="000C0607"/>
    <w:rsid w:val="000C0745"/>
    <w:rsid w:val="000C10FD"/>
    <w:rsid w:val="000C15F7"/>
    <w:rsid w:val="000C1B47"/>
    <w:rsid w:val="000C1EFB"/>
    <w:rsid w:val="000C217A"/>
    <w:rsid w:val="000C2672"/>
    <w:rsid w:val="000C31CC"/>
    <w:rsid w:val="000C33F6"/>
    <w:rsid w:val="000C3DBD"/>
    <w:rsid w:val="000C3EC1"/>
    <w:rsid w:val="000C3F29"/>
    <w:rsid w:val="000C405F"/>
    <w:rsid w:val="000C4075"/>
    <w:rsid w:val="000C4131"/>
    <w:rsid w:val="000C4481"/>
    <w:rsid w:val="000C4639"/>
    <w:rsid w:val="000C4D6A"/>
    <w:rsid w:val="000C5379"/>
    <w:rsid w:val="000C54E8"/>
    <w:rsid w:val="000C5C41"/>
    <w:rsid w:val="000C5CD7"/>
    <w:rsid w:val="000C60B2"/>
    <w:rsid w:val="000C6213"/>
    <w:rsid w:val="000C632E"/>
    <w:rsid w:val="000C63E5"/>
    <w:rsid w:val="000C64DC"/>
    <w:rsid w:val="000C6522"/>
    <w:rsid w:val="000C65D3"/>
    <w:rsid w:val="000C6D0C"/>
    <w:rsid w:val="000C7169"/>
    <w:rsid w:val="000C73B4"/>
    <w:rsid w:val="000D0F33"/>
    <w:rsid w:val="000D1600"/>
    <w:rsid w:val="000D1B8A"/>
    <w:rsid w:val="000D1C39"/>
    <w:rsid w:val="000D1C8C"/>
    <w:rsid w:val="000D1D65"/>
    <w:rsid w:val="000D1FD2"/>
    <w:rsid w:val="000D226F"/>
    <w:rsid w:val="000D232F"/>
    <w:rsid w:val="000D2F06"/>
    <w:rsid w:val="000D32E2"/>
    <w:rsid w:val="000D35EA"/>
    <w:rsid w:val="000D36AF"/>
    <w:rsid w:val="000D3889"/>
    <w:rsid w:val="000D39D7"/>
    <w:rsid w:val="000D3C3C"/>
    <w:rsid w:val="000D40B6"/>
    <w:rsid w:val="000D41F1"/>
    <w:rsid w:val="000D445A"/>
    <w:rsid w:val="000D516B"/>
    <w:rsid w:val="000D58A7"/>
    <w:rsid w:val="000D5A31"/>
    <w:rsid w:val="000D5C89"/>
    <w:rsid w:val="000D627D"/>
    <w:rsid w:val="000D6376"/>
    <w:rsid w:val="000D6CA6"/>
    <w:rsid w:val="000D6DA3"/>
    <w:rsid w:val="000D6EB9"/>
    <w:rsid w:val="000D6FB0"/>
    <w:rsid w:val="000D7523"/>
    <w:rsid w:val="000D7589"/>
    <w:rsid w:val="000D7B3B"/>
    <w:rsid w:val="000D7C3E"/>
    <w:rsid w:val="000E00BA"/>
    <w:rsid w:val="000E020D"/>
    <w:rsid w:val="000E0357"/>
    <w:rsid w:val="000E06F3"/>
    <w:rsid w:val="000E12BC"/>
    <w:rsid w:val="000E20AD"/>
    <w:rsid w:val="000E2155"/>
    <w:rsid w:val="000E229E"/>
    <w:rsid w:val="000E24A0"/>
    <w:rsid w:val="000E27FF"/>
    <w:rsid w:val="000E2B7E"/>
    <w:rsid w:val="000E2B9D"/>
    <w:rsid w:val="000E3200"/>
    <w:rsid w:val="000E3AFF"/>
    <w:rsid w:val="000E3D0F"/>
    <w:rsid w:val="000E3D44"/>
    <w:rsid w:val="000E3E5A"/>
    <w:rsid w:val="000E408B"/>
    <w:rsid w:val="000E418A"/>
    <w:rsid w:val="000E41A3"/>
    <w:rsid w:val="000E447C"/>
    <w:rsid w:val="000E4710"/>
    <w:rsid w:val="000E4808"/>
    <w:rsid w:val="000E4B65"/>
    <w:rsid w:val="000E4CA0"/>
    <w:rsid w:val="000E4F62"/>
    <w:rsid w:val="000E55A9"/>
    <w:rsid w:val="000E55DF"/>
    <w:rsid w:val="000E5A09"/>
    <w:rsid w:val="000E5AA4"/>
    <w:rsid w:val="000E5ADE"/>
    <w:rsid w:val="000E5BF5"/>
    <w:rsid w:val="000E61C0"/>
    <w:rsid w:val="000E6422"/>
    <w:rsid w:val="000E679E"/>
    <w:rsid w:val="000E68F3"/>
    <w:rsid w:val="000E6B0E"/>
    <w:rsid w:val="000E782B"/>
    <w:rsid w:val="000E7888"/>
    <w:rsid w:val="000F00E0"/>
    <w:rsid w:val="000F0237"/>
    <w:rsid w:val="000F0292"/>
    <w:rsid w:val="000F0957"/>
    <w:rsid w:val="000F0BE8"/>
    <w:rsid w:val="000F0C78"/>
    <w:rsid w:val="000F0C7A"/>
    <w:rsid w:val="000F0F3D"/>
    <w:rsid w:val="000F14C3"/>
    <w:rsid w:val="000F1956"/>
    <w:rsid w:val="000F1FE0"/>
    <w:rsid w:val="000F282E"/>
    <w:rsid w:val="000F2D29"/>
    <w:rsid w:val="000F2D68"/>
    <w:rsid w:val="000F309F"/>
    <w:rsid w:val="000F3B00"/>
    <w:rsid w:val="000F3D6A"/>
    <w:rsid w:val="000F3FAE"/>
    <w:rsid w:val="000F4451"/>
    <w:rsid w:val="000F48B9"/>
    <w:rsid w:val="000F4CDB"/>
    <w:rsid w:val="000F54C9"/>
    <w:rsid w:val="000F5586"/>
    <w:rsid w:val="000F559F"/>
    <w:rsid w:val="000F5886"/>
    <w:rsid w:val="000F5E59"/>
    <w:rsid w:val="000F669C"/>
    <w:rsid w:val="000F66D7"/>
    <w:rsid w:val="000F6825"/>
    <w:rsid w:val="000F72CC"/>
    <w:rsid w:val="000F72F3"/>
    <w:rsid w:val="000F758B"/>
    <w:rsid w:val="000F763A"/>
    <w:rsid w:val="000F7EA2"/>
    <w:rsid w:val="00100069"/>
    <w:rsid w:val="00100391"/>
    <w:rsid w:val="001003C0"/>
    <w:rsid w:val="00100445"/>
    <w:rsid w:val="00100524"/>
    <w:rsid w:val="0010059C"/>
    <w:rsid w:val="00100752"/>
    <w:rsid w:val="001007C4"/>
    <w:rsid w:val="0010085F"/>
    <w:rsid w:val="001009AE"/>
    <w:rsid w:val="00100A7B"/>
    <w:rsid w:val="001015EC"/>
    <w:rsid w:val="00101AAA"/>
    <w:rsid w:val="00101B57"/>
    <w:rsid w:val="00101EA9"/>
    <w:rsid w:val="001023BA"/>
    <w:rsid w:val="00102418"/>
    <w:rsid w:val="00102D22"/>
    <w:rsid w:val="0010337E"/>
    <w:rsid w:val="00103B18"/>
    <w:rsid w:val="0010424D"/>
    <w:rsid w:val="001045DA"/>
    <w:rsid w:val="001049C0"/>
    <w:rsid w:val="00104D33"/>
    <w:rsid w:val="00104E01"/>
    <w:rsid w:val="00104F21"/>
    <w:rsid w:val="00105049"/>
    <w:rsid w:val="00105A45"/>
    <w:rsid w:val="00105AB9"/>
    <w:rsid w:val="00105D06"/>
    <w:rsid w:val="00105EE8"/>
    <w:rsid w:val="0010627D"/>
    <w:rsid w:val="0010635E"/>
    <w:rsid w:val="001063A4"/>
    <w:rsid w:val="0010652A"/>
    <w:rsid w:val="001065E9"/>
    <w:rsid w:val="00106ABA"/>
    <w:rsid w:val="00107350"/>
    <w:rsid w:val="001076B5"/>
    <w:rsid w:val="00107B6C"/>
    <w:rsid w:val="001101DF"/>
    <w:rsid w:val="001103FE"/>
    <w:rsid w:val="00110864"/>
    <w:rsid w:val="001108C2"/>
    <w:rsid w:val="001109AE"/>
    <w:rsid w:val="00110C62"/>
    <w:rsid w:val="00110F1F"/>
    <w:rsid w:val="00111071"/>
    <w:rsid w:val="001113CF"/>
    <w:rsid w:val="001114FE"/>
    <w:rsid w:val="00111AE4"/>
    <w:rsid w:val="00111C22"/>
    <w:rsid w:val="00111C66"/>
    <w:rsid w:val="00112252"/>
    <w:rsid w:val="0011266A"/>
    <w:rsid w:val="00112938"/>
    <w:rsid w:val="00112B98"/>
    <w:rsid w:val="00112D05"/>
    <w:rsid w:val="0011301C"/>
    <w:rsid w:val="00113909"/>
    <w:rsid w:val="00114001"/>
    <w:rsid w:val="0011433F"/>
    <w:rsid w:val="0011471E"/>
    <w:rsid w:val="00114816"/>
    <w:rsid w:val="001152BE"/>
    <w:rsid w:val="0011579E"/>
    <w:rsid w:val="00115986"/>
    <w:rsid w:val="001159D6"/>
    <w:rsid w:val="00115DFF"/>
    <w:rsid w:val="0011632B"/>
    <w:rsid w:val="0011644E"/>
    <w:rsid w:val="00116899"/>
    <w:rsid w:val="0011696F"/>
    <w:rsid w:val="001172E4"/>
    <w:rsid w:val="0011779D"/>
    <w:rsid w:val="00117C9C"/>
    <w:rsid w:val="00117E60"/>
    <w:rsid w:val="00117FB7"/>
    <w:rsid w:val="00120327"/>
    <w:rsid w:val="00120870"/>
    <w:rsid w:val="00120BC0"/>
    <w:rsid w:val="00120C32"/>
    <w:rsid w:val="00120D11"/>
    <w:rsid w:val="00121283"/>
    <w:rsid w:val="001216F7"/>
    <w:rsid w:val="00121884"/>
    <w:rsid w:val="00121BFA"/>
    <w:rsid w:val="00121FCE"/>
    <w:rsid w:val="001220A7"/>
    <w:rsid w:val="00122286"/>
    <w:rsid w:val="0012287D"/>
    <w:rsid w:val="0012297D"/>
    <w:rsid w:val="00123030"/>
    <w:rsid w:val="00123493"/>
    <w:rsid w:val="001234BD"/>
    <w:rsid w:val="00123617"/>
    <w:rsid w:val="00123792"/>
    <w:rsid w:val="00123AFB"/>
    <w:rsid w:val="00123B74"/>
    <w:rsid w:val="00123D69"/>
    <w:rsid w:val="00123E0F"/>
    <w:rsid w:val="00123F81"/>
    <w:rsid w:val="001246B8"/>
    <w:rsid w:val="0012475F"/>
    <w:rsid w:val="00124AE2"/>
    <w:rsid w:val="00124DC4"/>
    <w:rsid w:val="0012511D"/>
    <w:rsid w:val="00125C84"/>
    <w:rsid w:val="00126050"/>
    <w:rsid w:val="001261D6"/>
    <w:rsid w:val="0012621F"/>
    <w:rsid w:val="00126257"/>
    <w:rsid w:val="001265FA"/>
    <w:rsid w:val="00126DE6"/>
    <w:rsid w:val="00126E6F"/>
    <w:rsid w:val="00127168"/>
    <w:rsid w:val="00127810"/>
    <w:rsid w:val="00127CA2"/>
    <w:rsid w:val="00127E80"/>
    <w:rsid w:val="00130120"/>
    <w:rsid w:val="0013030B"/>
    <w:rsid w:val="00130394"/>
    <w:rsid w:val="001308A2"/>
    <w:rsid w:val="00130B4F"/>
    <w:rsid w:val="00130C24"/>
    <w:rsid w:val="0013102D"/>
    <w:rsid w:val="0013144C"/>
    <w:rsid w:val="00131ACC"/>
    <w:rsid w:val="00131B0B"/>
    <w:rsid w:val="00132142"/>
    <w:rsid w:val="00132284"/>
    <w:rsid w:val="0013242D"/>
    <w:rsid w:val="001330CE"/>
    <w:rsid w:val="001330D5"/>
    <w:rsid w:val="001338B0"/>
    <w:rsid w:val="001339E0"/>
    <w:rsid w:val="00133A1C"/>
    <w:rsid w:val="00133E99"/>
    <w:rsid w:val="0013429C"/>
    <w:rsid w:val="00134C18"/>
    <w:rsid w:val="00134CF8"/>
    <w:rsid w:val="001354C5"/>
    <w:rsid w:val="001354F8"/>
    <w:rsid w:val="0013570D"/>
    <w:rsid w:val="0013574A"/>
    <w:rsid w:val="001358A3"/>
    <w:rsid w:val="00135ABE"/>
    <w:rsid w:val="00135EB3"/>
    <w:rsid w:val="001360AE"/>
    <w:rsid w:val="001360C7"/>
    <w:rsid w:val="001361AA"/>
    <w:rsid w:val="0013643A"/>
    <w:rsid w:val="00136719"/>
    <w:rsid w:val="00136C60"/>
    <w:rsid w:val="0013711E"/>
    <w:rsid w:val="0013774B"/>
    <w:rsid w:val="00137CDE"/>
    <w:rsid w:val="00140155"/>
    <w:rsid w:val="0014093B"/>
    <w:rsid w:val="001409BE"/>
    <w:rsid w:val="00140E14"/>
    <w:rsid w:val="0014106D"/>
    <w:rsid w:val="00141314"/>
    <w:rsid w:val="00141ADF"/>
    <w:rsid w:val="00141B86"/>
    <w:rsid w:val="00141D2F"/>
    <w:rsid w:val="00141DC3"/>
    <w:rsid w:val="001423C6"/>
    <w:rsid w:val="0014248F"/>
    <w:rsid w:val="00142496"/>
    <w:rsid w:val="00142631"/>
    <w:rsid w:val="00142B81"/>
    <w:rsid w:val="00142C78"/>
    <w:rsid w:val="00142F2C"/>
    <w:rsid w:val="00143263"/>
    <w:rsid w:val="001432B4"/>
    <w:rsid w:val="00143CFC"/>
    <w:rsid w:val="00143F9A"/>
    <w:rsid w:val="0014478B"/>
    <w:rsid w:val="00144866"/>
    <w:rsid w:val="00144C9C"/>
    <w:rsid w:val="00144DAC"/>
    <w:rsid w:val="00144FAF"/>
    <w:rsid w:val="0014501A"/>
    <w:rsid w:val="0014533E"/>
    <w:rsid w:val="00145D12"/>
    <w:rsid w:val="00146083"/>
    <w:rsid w:val="0014666F"/>
    <w:rsid w:val="001469A6"/>
    <w:rsid w:val="00146C17"/>
    <w:rsid w:val="00146D15"/>
    <w:rsid w:val="001474A1"/>
    <w:rsid w:val="0014751C"/>
    <w:rsid w:val="001476C2"/>
    <w:rsid w:val="0014773C"/>
    <w:rsid w:val="001500F1"/>
    <w:rsid w:val="00150264"/>
    <w:rsid w:val="00150443"/>
    <w:rsid w:val="0015077D"/>
    <w:rsid w:val="00150DF6"/>
    <w:rsid w:val="00151167"/>
    <w:rsid w:val="0015142E"/>
    <w:rsid w:val="00151678"/>
    <w:rsid w:val="001518EE"/>
    <w:rsid w:val="00151D2B"/>
    <w:rsid w:val="00151EB3"/>
    <w:rsid w:val="0015225D"/>
    <w:rsid w:val="00152496"/>
    <w:rsid w:val="00152499"/>
    <w:rsid w:val="00152639"/>
    <w:rsid w:val="001526B8"/>
    <w:rsid w:val="00152D8A"/>
    <w:rsid w:val="00152EC3"/>
    <w:rsid w:val="00152EFA"/>
    <w:rsid w:val="001537E7"/>
    <w:rsid w:val="00153EA4"/>
    <w:rsid w:val="0015459F"/>
    <w:rsid w:val="00154806"/>
    <w:rsid w:val="00154DAE"/>
    <w:rsid w:val="00154FB4"/>
    <w:rsid w:val="001555B9"/>
    <w:rsid w:val="00155B1A"/>
    <w:rsid w:val="00155EBB"/>
    <w:rsid w:val="00155EDF"/>
    <w:rsid w:val="00156118"/>
    <w:rsid w:val="00156207"/>
    <w:rsid w:val="0015681A"/>
    <w:rsid w:val="00156A3D"/>
    <w:rsid w:val="00156F04"/>
    <w:rsid w:val="00156FC4"/>
    <w:rsid w:val="00157267"/>
    <w:rsid w:val="00157401"/>
    <w:rsid w:val="00157783"/>
    <w:rsid w:val="0016022E"/>
    <w:rsid w:val="001605E7"/>
    <w:rsid w:val="00160BEF"/>
    <w:rsid w:val="00160E9B"/>
    <w:rsid w:val="00160EBF"/>
    <w:rsid w:val="00161122"/>
    <w:rsid w:val="00161285"/>
    <w:rsid w:val="00161570"/>
    <w:rsid w:val="00161588"/>
    <w:rsid w:val="001617FE"/>
    <w:rsid w:val="001618EB"/>
    <w:rsid w:val="00161C49"/>
    <w:rsid w:val="00161C6E"/>
    <w:rsid w:val="00161EC0"/>
    <w:rsid w:val="001620C5"/>
    <w:rsid w:val="0016236A"/>
    <w:rsid w:val="00162427"/>
    <w:rsid w:val="001626F3"/>
    <w:rsid w:val="00162E61"/>
    <w:rsid w:val="00162FEE"/>
    <w:rsid w:val="001630EE"/>
    <w:rsid w:val="001636E8"/>
    <w:rsid w:val="00163715"/>
    <w:rsid w:val="001637DC"/>
    <w:rsid w:val="00163F52"/>
    <w:rsid w:val="00163F59"/>
    <w:rsid w:val="00164004"/>
    <w:rsid w:val="00164134"/>
    <w:rsid w:val="0016477A"/>
    <w:rsid w:val="00164DCD"/>
    <w:rsid w:val="00164EFA"/>
    <w:rsid w:val="00164FBA"/>
    <w:rsid w:val="001650E6"/>
    <w:rsid w:val="001651FA"/>
    <w:rsid w:val="001652C3"/>
    <w:rsid w:val="001659B5"/>
    <w:rsid w:val="00165FAE"/>
    <w:rsid w:val="001667B8"/>
    <w:rsid w:val="00166DB8"/>
    <w:rsid w:val="0016721C"/>
    <w:rsid w:val="001675C8"/>
    <w:rsid w:val="00167609"/>
    <w:rsid w:val="001679A9"/>
    <w:rsid w:val="001700C2"/>
    <w:rsid w:val="00170621"/>
    <w:rsid w:val="0017068A"/>
    <w:rsid w:val="00170810"/>
    <w:rsid w:val="00170889"/>
    <w:rsid w:val="00170A8D"/>
    <w:rsid w:val="00170C1C"/>
    <w:rsid w:val="00170D57"/>
    <w:rsid w:val="00171080"/>
    <w:rsid w:val="0017187D"/>
    <w:rsid w:val="00171F29"/>
    <w:rsid w:val="00171F3F"/>
    <w:rsid w:val="0017210C"/>
    <w:rsid w:val="00172E56"/>
    <w:rsid w:val="00173016"/>
    <w:rsid w:val="00173108"/>
    <w:rsid w:val="00173672"/>
    <w:rsid w:val="001738A5"/>
    <w:rsid w:val="00173ABE"/>
    <w:rsid w:val="00173B9B"/>
    <w:rsid w:val="00173C8F"/>
    <w:rsid w:val="0017434C"/>
    <w:rsid w:val="001743FC"/>
    <w:rsid w:val="0017459E"/>
    <w:rsid w:val="001748DE"/>
    <w:rsid w:val="00174AF6"/>
    <w:rsid w:val="00174B1E"/>
    <w:rsid w:val="00174FAE"/>
    <w:rsid w:val="001754C0"/>
    <w:rsid w:val="001755FF"/>
    <w:rsid w:val="001760E7"/>
    <w:rsid w:val="0017617D"/>
    <w:rsid w:val="0017621A"/>
    <w:rsid w:val="00176448"/>
    <w:rsid w:val="00176480"/>
    <w:rsid w:val="00176652"/>
    <w:rsid w:val="00176683"/>
    <w:rsid w:val="0017689D"/>
    <w:rsid w:val="001769B8"/>
    <w:rsid w:val="00177036"/>
    <w:rsid w:val="001771B2"/>
    <w:rsid w:val="00177202"/>
    <w:rsid w:val="00177500"/>
    <w:rsid w:val="00177C72"/>
    <w:rsid w:val="00177DE3"/>
    <w:rsid w:val="00180383"/>
    <w:rsid w:val="00180769"/>
    <w:rsid w:val="001807A8"/>
    <w:rsid w:val="00181193"/>
    <w:rsid w:val="00181478"/>
    <w:rsid w:val="001818E6"/>
    <w:rsid w:val="001819AC"/>
    <w:rsid w:val="00181BF5"/>
    <w:rsid w:val="001820DC"/>
    <w:rsid w:val="0018250F"/>
    <w:rsid w:val="00182747"/>
    <w:rsid w:val="00182897"/>
    <w:rsid w:val="00182F41"/>
    <w:rsid w:val="0018352C"/>
    <w:rsid w:val="001837BD"/>
    <w:rsid w:val="00183A7A"/>
    <w:rsid w:val="00183D5F"/>
    <w:rsid w:val="0018416D"/>
    <w:rsid w:val="001841BE"/>
    <w:rsid w:val="00184670"/>
    <w:rsid w:val="00184703"/>
    <w:rsid w:val="00184915"/>
    <w:rsid w:val="001850C7"/>
    <w:rsid w:val="001859FF"/>
    <w:rsid w:val="00186086"/>
    <w:rsid w:val="00186474"/>
    <w:rsid w:val="001875B6"/>
    <w:rsid w:val="00187897"/>
    <w:rsid w:val="0018797B"/>
    <w:rsid w:val="001879B2"/>
    <w:rsid w:val="00187A40"/>
    <w:rsid w:val="00187AAC"/>
    <w:rsid w:val="00187BD9"/>
    <w:rsid w:val="00187D8C"/>
    <w:rsid w:val="001902B7"/>
    <w:rsid w:val="0019030E"/>
    <w:rsid w:val="0019071A"/>
    <w:rsid w:val="00190B0A"/>
    <w:rsid w:val="00190B1D"/>
    <w:rsid w:val="00190BBD"/>
    <w:rsid w:val="00191155"/>
    <w:rsid w:val="001913CE"/>
    <w:rsid w:val="00191406"/>
    <w:rsid w:val="00191542"/>
    <w:rsid w:val="00191741"/>
    <w:rsid w:val="00191791"/>
    <w:rsid w:val="0019208A"/>
    <w:rsid w:val="00192123"/>
    <w:rsid w:val="001922BC"/>
    <w:rsid w:val="00192706"/>
    <w:rsid w:val="00192BB3"/>
    <w:rsid w:val="00192C3A"/>
    <w:rsid w:val="00192F9E"/>
    <w:rsid w:val="0019303F"/>
    <w:rsid w:val="00193059"/>
    <w:rsid w:val="001938C0"/>
    <w:rsid w:val="001939BF"/>
    <w:rsid w:val="00193A9A"/>
    <w:rsid w:val="00194311"/>
    <w:rsid w:val="00194757"/>
    <w:rsid w:val="001948FA"/>
    <w:rsid w:val="001949F0"/>
    <w:rsid w:val="00194C1B"/>
    <w:rsid w:val="00194C9A"/>
    <w:rsid w:val="00194F00"/>
    <w:rsid w:val="001950EB"/>
    <w:rsid w:val="00195173"/>
    <w:rsid w:val="001953C7"/>
    <w:rsid w:val="00195624"/>
    <w:rsid w:val="00195CE8"/>
    <w:rsid w:val="00195CF9"/>
    <w:rsid w:val="00195E3E"/>
    <w:rsid w:val="001962F0"/>
    <w:rsid w:val="001964D6"/>
    <w:rsid w:val="00196600"/>
    <w:rsid w:val="00196722"/>
    <w:rsid w:val="00196AE9"/>
    <w:rsid w:val="00196CDD"/>
    <w:rsid w:val="00196D13"/>
    <w:rsid w:val="00196EE5"/>
    <w:rsid w:val="00196EF2"/>
    <w:rsid w:val="0019779F"/>
    <w:rsid w:val="00197A79"/>
    <w:rsid w:val="00197CA4"/>
    <w:rsid w:val="001A023B"/>
    <w:rsid w:val="001A02C9"/>
    <w:rsid w:val="001A05E7"/>
    <w:rsid w:val="001A0640"/>
    <w:rsid w:val="001A0B98"/>
    <w:rsid w:val="001A0CB0"/>
    <w:rsid w:val="001A0EB7"/>
    <w:rsid w:val="001A1037"/>
    <w:rsid w:val="001A1A94"/>
    <w:rsid w:val="001A1DCB"/>
    <w:rsid w:val="001A1FC0"/>
    <w:rsid w:val="001A22C3"/>
    <w:rsid w:val="001A27AC"/>
    <w:rsid w:val="001A28BB"/>
    <w:rsid w:val="001A28C1"/>
    <w:rsid w:val="001A28E6"/>
    <w:rsid w:val="001A3469"/>
    <w:rsid w:val="001A35F4"/>
    <w:rsid w:val="001A37C6"/>
    <w:rsid w:val="001A37E1"/>
    <w:rsid w:val="001A3981"/>
    <w:rsid w:val="001A3B8F"/>
    <w:rsid w:val="001A3C68"/>
    <w:rsid w:val="001A3D98"/>
    <w:rsid w:val="001A3FFD"/>
    <w:rsid w:val="001A4980"/>
    <w:rsid w:val="001A4995"/>
    <w:rsid w:val="001A4CA0"/>
    <w:rsid w:val="001A52DE"/>
    <w:rsid w:val="001A5AA7"/>
    <w:rsid w:val="001A5DB9"/>
    <w:rsid w:val="001A5FF9"/>
    <w:rsid w:val="001A6084"/>
    <w:rsid w:val="001A60E6"/>
    <w:rsid w:val="001A63C0"/>
    <w:rsid w:val="001A6419"/>
    <w:rsid w:val="001A644E"/>
    <w:rsid w:val="001A65ED"/>
    <w:rsid w:val="001A669F"/>
    <w:rsid w:val="001A696F"/>
    <w:rsid w:val="001A6CA5"/>
    <w:rsid w:val="001A6D4E"/>
    <w:rsid w:val="001A710E"/>
    <w:rsid w:val="001A7162"/>
    <w:rsid w:val="001A717F"/>
    <w:rsid w:val="001A728B"/>
    <w:rsid w:val="001A7369"/>
    <w:rsid w:val="001A7393"/>
    <w:rsid w:val="001A7A9B"/>
    <w:rsid w:val="001A7CC0"/>
    <w:rsid w:val="001A7FFC"/>
    <w:rsid w:val="001B0615"/>
    <w:rsid w:val="001B0857"/>
    <w:rsid w:val="001B09F0"/>
    <w:rsid w:val="001B0C4C"/>
    <w:rsid w:val="001B196C"/>
    <w:rsid w:val="001B196E"/>
    <w:rsid w:val="001B2731"/>
    <w:rsid w:val="001B2838"/>
    <w:rsid w:val="001B29AE"/>
    <w:rsid w:val="001B310C"/>
    <w:rsid w:val="001B36C0"/>
    <w:rsid w:val="001B36F0"/>
    <w:rsid w:val="001B386B"/>
    <w:rsid w:val="001B3AB2"/>
    <w:rsid w:val="001B3D9A"/>
    <w:rsid w:val="001B3EC3"/>
    <w:rsid w:val="001B42E6"/>
    <w:rsid w:val="001B433D"/>
    <w:rsid w:val="001B4803"/>
    <w:rsid w:val="001B4A66"/>
    <w:rsid w:val="001B5614"/>
    <w:rsid w:val="001B5C08"/>
    <w:rsid w:val="001B6CBB"/>
    <w:rsid w:val="001B6FB6"/>
    <w:rsid w:val="001B706E"/>
    <w:rsid w:val="001B7133"/>
    <w:rsid w:val="001B7267"/>
    <w:rsid w:val="001B7641"/>
    <w:rsid w:val="001B7769"/>
    <w:rsid w:val="001B7909"/>
    <w:rsid w:val="001B7D71"/>
    <w:rsid w:val="001B7D74"/>
    <w:rsid w:val="001C00E8"/>
    <w:rsid w:val="001C01CC"/>
    <w:rsid w:val="001C048F"/>
    <w:rsid w:val="001C0876"/>
    <w:rsid w:val="001C0FDE"/>
    <w:rsid w:val="001C1282"/>
    <w:rsid w:val="001C13C5"/>
    <w:rsid w:val="001C15AD"/>
    <w:rsid w:val="001C18EB"/>
    <w:rsid w:val="001C1A53"/>
    <w:rsid w:val="001C1CB5"/>
    <w:rsid w:val="001C1E35"/>
    <w:rsid w:val="001C1F2A"/>
    <w:rsid w:val="001C271E"/>
    <w:rsid w:val="001C2915"/>
    <w:rsid w:val="001C2980"/>
    <w:rsid w:val="001C29B0"/>
    <w:rsid w:val="001C2B95"/>
    <w:rsid w:val="001C2F76"/>
    <w:rsid w:val="001C353A"/>
    <w:rsid w:val="001C3798"/>
    <w:rsid w:val="001C3A32"/>
    <w:rsid w:val="001C3CD7"/>
    <w:rsid w:val="001C3DBD"/>
    <w:rsid w:val="001C3F40"/>
    <w:rsid w:val="001C3F63"/>
    <w:rsid w:val="001C4401"/>
    <w:rsid w:val="001C4736"/>
    <w:rsid w:val="001C4785"/>
    <w:rsid w:val="001C4B09"/>
    <w:rsid w:val="001C4C29"/>
    <w:rsid w:val="001C4DDB"/>
    <w:rsid w:val="001C514B"/>
    <w:rsid w:val="001C5225"/>
    <w:rsid w:val="001C5226"/>
    <w:rsid w:val="001C5300"/>
    <w:rsid w:val="001C5523"/>
    <w:rsid w:val="001C574D"/>
    <w:rsid w:val="001C5955"/>
    <w:rsid w:val="001C60C0"/>
    <w:rsid w:val="001C6544"/>
    <w:rsid w:val="001C6DAC"/>
    <w:rsid w:val="001C6E70"/>
    <w:rsid w:val="001C6FFB"/>
    <w:rsid w:val="001C70A6"/>
    <w:rsid w:val="001C7220"/>
    <w:rsid w:val="001C7307"/>
    <w:rsid w:val="001C7809"/>
    <w:rsid w:val="001D0787"/>
    <w:rsid w:val="001D0982"/>
    <w:rsid w:val="001D0AAF"/>
    <w:rsid w:val="001D0AF1"/>
    <w:rsid w:val="001D0CDD"/>
    <w:rsid w:val="001D0D08"/>
    <w:rsid w:val="001D0DB7"/>
    <w:rsid w:val="001D143D"/>
    <w:rsid w:val="001D1536"/>
    <w:rsid w:val="001D1919"/>
    <w:rsid w:val="001D1F53"/>
    <w:rsid w:val="001D22AF"/>
    <w:rsid w:val="001D2E28"/>
    <w:rsid w:val="001D2F09"/>
    <w:rsid w:val="001D3220"/>
    <w:rsid w:val="001D375C"/>
    <w:rsid w:val="001D378C"/>
    <w:rsid w:val="001D37D1"/>
    <w:rsid w:val="001D3AFF"/>
    <w:rsid w:val="001D42C0"/>
    <w:rsid w:val="001D4452"/>
    <w:rsid w:val="001D48A8"/>
    <w:rsid w:val="001D49E4"/>
    <w:rsid w:val="001D4A57"/>
    <w:rsid w:val="001D4B99"/>
    <w:rsid w:val="001D4C87"/>
    <w:rsid w:val="001D530A"/>
    <w:rsid w:val="001D53E8"/>
    <w:rsid w:val="001D55FC"/>
    <w:rsid w:val="001D57CF"/>
    <w:rsid w:val="001D598F"/>
    <w:rsid w:val="001D612A"/>
    <w:rsid w:val="001D6649"/>
    <w:rsid w:val="001D68FD"/>
    <w:rsid w:val="001D69A5"/>
    <w:rsid w:val="001D6A29"/>
    <w:rsid w:val="001D6DD8"/>
    <w:rsid w:val="001D6F04"/>
    <w:rsid w:val="001D6F46"/>
    <w:rsid w:val="001D7076"/>
    <w:rsid w:val="001D726E"/>
    <w:rsid w:val="001D7300"/>
    <w:rsid w:val="001D7442"/>
    <w:rsid w:val="001D75D8"/>
    <w:rsid w:val="001D7779"/>
    <w:rsid w:val="001D7964"/>
    <w:rsid w:val="001D7A37"/>
    <w:rsid w:val="001D7ED2"/>
    <w:rsid w:val="001E0022"/>
    <w:rsid w:val="001E04D4"/>
    <w:rsid w:val="001E0F57"/>
    <w:rsid w:val="001E131E"/>
    <w:rsid w:val="001E140E"/>
    <w:rsid w:val="001E16C8"/>
    <w:rsid w:val="001E19AC"/>
    <w:rsid w:val="001E1C88"/>
    <w:rsid w:val="001E1CC2"/>
    <w:rsid w:val="001E2040"/>
    <w:rsid w:val="001E222A"/>
    <w:rsid w:val="001E229E"/>
    <w:rsid w:val="001E307B"/>
    <w:rsid w:val="001E335B"/>
    <w:rsid w:val="001E393C"/>
    <w:rsid w:val="001E402A"/>
    <w:rsid w:val="001E433C"/>
    <w:rsid w:val="001E45E1"/>
    <w:rsid w:val="001E47CB"/>
    <w:rsid w:val="001E4A2F"/>
    <w:rsid w:val="001E4B0A"/>
    <w:rsid w:val="001E536E"/>
    <w:rsid w:val="001E62CF"/>
    <w:rsid w:val="001E6475"/>
    <w:rsid w:val="001E6578"/>
    <w:rsid w:val="001E6C57"/>
    <w:rsid w:val="001E6E34"/>
    <w:rsid w:val="001E6F84"/>
    <w:rsid w:val="001E772B"/>
    <w:rsid w:val="001E7C55"/>
    <w:rsid w:val="001E7D14"/>
    <w:rsid w:val="001F0031"/>
    <w:rsid w:val="001F00CA"/>
    <w:rsid w:val="001F06C5"/>
    <w:rsid w:val="001F0862"/>
    <w:rsid w:val="001F0874"/>
    <w:rsid w:val="001F0A3A"/>
    <w:rsid w:val="001F0EF4"/>
    <w:rsid w:val="001F1721"/>
    <w:rsid w:val="001F23DA"/>
    <w:rsid w:val="001F251E"/>
    <w:rsid w:val="001F2730"/>
    <w:rsid w:val="001F288B"/>
    <w:rsid w:val="001F2DAD"/>
    <w:rsid w:val="001F3497"/>
    <w:rsid w:val="001F34C5"/>
    <w:rsid w:val="001F3C62"/>
    <w:rsid w:val="001F404C"/>
    <w:rsid w:val="001F496F"/>
    <w:rsid w:val="001F52D3"/>
    <w:rsid w:val="001F54F1"/>
    <w:rsid w:val="001F5769"/>
    <w:rsid w:val="001F59EC"/>
    <w:rsid w:val="001F5B84"/>
    <w:rsid w:val="001F5E94"/>
    <w:rsid w:val="001F62BA"/>
    <w:rsid w:val="001F675C"/>
    <w:rsid w:val="001F6B40"/>
    <w:rsid w:val="001F6BC7"/>
    <w:rsid w:val="001F73C5"/>
    <w:rsid w:val="001F757F"/>
    <w:rsid w:val="001F7DFE"/>
    <w:rsid w:val="0020026C"/>
    <w:rsid w:val="002003E4"/>
    <w:rsid w:val="0020084C"/>
    <w:rsid w:val="00200A69"/>
    <w:rsid w:val="002014A9"/>
    <w:rsid w:val="00201573"/>
    <w:rsid w:val="00201968"/>
    <w:rsid w:val="00201A8B"/>
    <w:rsid w:val="00201AC6"/>
    <w:rsid w:val="00201C81"/>
    <w:rsid w:val="0020204C"/>
    <w:rsid w:val="0020276E"/>
    <w:rsid w:val="00202C56"/>
    <w:rsid w:val="00202D58"/>
    <w:rsid w:val="00202EB3"/>
    <w:rsid w:val="00203104"/>
    <w:rsid w:val="00203272"/>
    <w:rsid w:val="00203444"/>
    <w:rsid w:val="00203973"/>
    <w:rsid w:val="00203C12"/>
    <w:rsid w:val="00204001"/>
    <w:rsid w:val="002040C9"/>
    <w:rsid w:val="00204380"/>
    <w:rsid w:val="00204672"/>
    <w:rsid w:val="00204C7F"/>
    <w:rsid w:val="00204F5E"/>
    <w:rsid w:val="0020538B"/>
    <w:rsid w:val="0020569C"/>
    <w:rsid w:val="00205813"/>
    <w:rsid w:val="00205D8D"/>
    <w:rsid w:val="00205E0A"/>
    <w:rsid w:val="00206350"/>
    <w:rsid w:val="00206602"/>
    <w:rsid w:val="0020666A"/>
    <w:rsid w:val="00206BD2"/>
    <w:rsid w:val="00206CAE"/>
    <w:rsid w:val="00206FCE"/>
    <w:rsid w:val="00207B96"/>
    <w:rsid w:val="00210670"/>
    <w:rsid w:val="00210937"/>
    <w:rsid w:val="00210A3A"/>
    <w:rsid w:val="00210B2F"/>
    <w:rsid w:val="00210B59"/>
    <w:rsid w:val="00210ECE"/>
    <w:rsid w:val="00210F88"/>
    <w:rsid w:val="00211148"/>
    <w:rsid w:val="002114C0"/>
    <w:rsid w:val="002116E1"/>
    <w:rsid w:val="002118F4"/>
    <w:rsid w:val="00211C5A"/>
    <w:rsid w:val="00211EC3"/>
    <w:rsid w:val="002120D0"/>
    <w:rsid w:val="00213117"/>
    <w:rsid w:val="0021339C"/>
    <w:rsid w:val="002133A2"/>
    <w:rsid w:val="0021366D"/>
    <w:rsid w:val="002139BA"/>
    <w:rsid w:val="00213A5B"/>
    <w:rsid w:val="00213A69"/>
    <w:rsid w:val="00213F32"/>
    <w:rsid w:val="00213F68"/>
    <w:rsid w:val="0021415E"/>
    <w:rsid w:val="00214958"/>
    <w:rsid w:val="002156C5"/>
    <w:rsid w:val="00215A43"/>
    <w:rsid w:val="0021627D"/>
    <w:rsid w:val="002167FC"/>
    <w:rsid w:val="0021684B"/>
    <w:rsid w:val="00216B01"/>
    <w:rsid w:val="002176C3"/>
    <w:rsid w:val="00217C90"/>
    <w:rsid w:val="00217DD9"/>
    <w:rsid w:val="002204BC"/>
    <w:rsid w:val="00220501"/>
    <w:rsid w:val="00220839"/>
    <w:rsid w:val="002208E5"/>
    <w:rsid w:val="0022097C"/>
    <w:rsid w:val="00220B05"/>
    <w:rsid w:val="002216D8"/>
    <w:rsid w:val="002218BD"/>
    <w:rsid w:val="002218EC"/>
    <w:rsid w:val="00221E79"/>
    <w:rsid w:val="002223B8"/>
    <w:rsid w:val="002223E9"/>
    <w:rsid w:val="0022251E"/>
    <w:rsid w:val="00222639"/>
    <w:rsid w:val="0022267D"/>
    <w:rsid w:val="0022267E"/>
    <w:rsid w:val="002229B4"/>
    <w:rsid w:val="00222C23"/>
    <w:rsid w:val="00222CF0"/>
    <w:rsid w:val="00222F3D"/>
    <w:rsid w:val="00223151"/>
    <w:rsid w:val="002232E9"/>
    <w:rsid w:val="00223AF4"/>
    <w:rsid w:val="00223F90"/>
    <w:rsid w:val="0022410F"/>
    <w:rsid w:val="00224317"/>
    <w:rsid w:val="00224AFB"/>
    <w:rsid w:val="002254AC"/>
    <w:rsid w:val="0022574F"/>
    <w:rsid w:val="00225808"/>
    <w:rsid w:val="00225996"/>
    <w:rsid w:val="00226518"/>
    <w:rsid w:val="00226A4E"/>
    <w:rsid w:val="00227314"/>
    <w:rsid w:val="00227745"/>
    <w:rsid w:val="00227A68"/>
    <w:rsid w:val="00227C0A"/>
    <w:rsid w:val="00227CC6"/>
    <w:rsid w:val="00227D75"/>
    <w:rsid w:val="002300A1"/>
    <w:rsid w:val="00230D7A"/>
    <w:rsid w:val="00230E1A"/>
    <w:rsid w:val="0023110C"/>
    <w:rsid w:val="00231450"/>
    <w:rsid w:val="0023175D"/>
    <w:rsid w:val="00231D34"/>
    <w:rsid w:val="00231F41"/>
    <w:rsid w:val="0023266B"/>
    <w:rsid w:val="00232BEE"/>
    <w:rsid w:val="002332EA"/>
    <w:rsid w:val="002334D0"/>
    <w:rsid w:val="0023353E"/>
    <w:rsid w:val="002336D9"/>
    <w:rsid w:val="002339C0"/>
    <w:rsid w:val="00233C27"/>
    <w:rsid w:val="00233FF8"/>
    <w:rsid w:val="002344EA"/>
    <w:rsid w:val="0023478C"/>
    <w:rsid w:val="00234817"/>
    <w:rsid w:val="00234BC1"/>
    <w:rsid w:val="00234C85"/>
    <w:rsid w:val="00234E20"/>
    <w:rsid w:val="00235254"/>
    <w:rsid w:val="002354C8"/>
    <w:rsid w:val="00235636"/>
    <w:rsid w:val="002357CB"/>
    <w:rsid w:val="00235BFB"/>
    <w:rsid w:val="00235C7C"/>
    <w:rsid w:val="00235F95"/>
    <w:rsid w:val="002361CF"/>
    <w:rsid w:val="002361E9"/>
    <w:rsid w:val="00236824"/>
    <w:rsid w:val="00236BF1"/>
    <w:rsid w:val="00236E42"/>
    <w:rsid w:val="00237069"/>
    <w:rsid w:val="00237245"/>
    <w:rsid w:val="002376BF"/>
    <w:rsid w:val="00237721"/>
    <w:rsid w:val="0023788B"/>
    <w:rsid w:val="002379E4"/>
    <w:rsid w:val="00237A54"/>
    <w:rsid w:val="00237C81"/>
    <w:rsid w:val="00237E1E"/>
    <w:rsid w:val="0024004E"/>
    <w:rsid w:val="002400DE"/>
    <w:rsid w:val="002403B4"/>
    <w:rsid w:val="002404DC"/>
    <w:rsid w:val="00240965"/>
    <w:rsid w:val="00240A19"/>
    <w:rsid w:val="00240C7C"/>
    <w:rsid w:val="0024118B"/>
    <w:rsid w:val="0024161F"/>
    <w:rsid w:val="00241B39"/>
    <w:rsid w:val="002420FF"/>
    <w:rsid w:val="002423CD"/>
    <w:rsid w:val="00242902"/>
    <w:rsid w:val="00242B32"/>
    <w:rsid w:val="00242F81"/>
    <w:rsid w:val="0024306D"/>
    <w:rsid w:val="002432AA"/>
    <w:rsid w:val="00243655"/>
    <w:rsid w:val="00243736"/>
    <w:rsid w:val="002437DA"/>
    <w:rsid w:val="0024389C"/>
    <w:rsid w:val="00243A02"/>
    <w:rsid w:val="00243AE7"/>
    <w:rsid w:val="00243DA5"/>
    <w:rsid w:val="00243DC5"/>
    <w:rsid w:val="00243FCB"/>
    <w:rsid w:val="0024419C"/>
    <w:rsid w:val="00244469"/>
    <w:rsid w:val="0024460A"/>
    <w:rsid w:val="0024479B"/>
    <w:rsid w:val="002447AE"/>
    <w:rsid w:val="00244C44"/>
    <w:rsid w:val="00245165"/>
    <w:rsid w:val="002451FB"/>
    <w:rsid w:val="0024532A"/>
    <w:rsid w:val="00245656"/>
    <w:rsid w:val="0024575D"/>
    <w:rsid w:val="0024589C"/>
    <w:rsid w:val="00245CD2"/>
    <w:rsid w:val="00245D30"/>
    <w:rsid w:val="00245E6F"/>
    <w:rsid w:val="0024609D"/>
    <w:rsid w:val="0024611D"/>
    <w:rsid w:val="0024635A"/>
    <w:rsid w:val="00246DA8"/>
    <w:rsid w:val="00246E0C"/>
    <w:rsid w:val="00246E3F"/>
    <w:rsid w:val="00246FE4"/>
    <w:rsid w:val="002471B6"/>
    <w:rsid w:val="00247515"/>
    <w:rsid w:val="00247551"/>
    <w:rsid w:val="002476A0"/>
    <w:rsid w:val="002478C3"/>
    <w:rsid w:val="00247922"/>
    <w:rsid w:val="002479C3"/>
    <w:rsid w:val="002501D1"/>
    <w:rsid w:val="00250738"/>
    <w:rsid w:val="0025077F"/>
    <w:rsid w:val="002507D6"/>
    <w:rsid w:val="00250818"/>
    <w:rsid w:val="0025098B"/>
    <w:rsid w:val="00250CDD"/>
    <w:rsid w:val="00251057"/>
    <w:rsid w:val="00251338"/>
    <w:rsid w:val="0025137E"/>
    <w:rsid w:val="00251387"/>
    <w:rsid w:val="0025146F"/>
    <w:rsid w:val="00251618"/>
    <w:rsid w:val="00251675"/>
    <w:rsid w:val="00251857"/>
    <w:rsid w:val="00251966"/>
    <w:rsid w:val="00251B05"/>
    <w:rsid w:val="00251B6A"/>
    <w:rsid w:val="00251BAC"/>
    <w:rsid w:val="00251CA5"/>
    <w:rsid w:val="0025209C"/>
    <w:rsid w:val="002521EC"/>
    <w:rsid w:val="00252A56"/>
    <w:rsid w:val="00252B4C"/>
    <w:rsid w:val="00252FE0"/>
    <w:rsid w:val="00253A1A"/>
    <w:rsid w:val="00254027"/>
    <w:rsid w:val="00254384"/>
    <w:rsid w:val="00254450"/>
    <w:rsid w:val="002550BC"/>
    <w:rsid w:val="00255257"/>
    <w:rsid w:val="00255451"/>
    <w:rsid w:val="002555CA"/>
    <w:rsid w:val="00255EA5"/>
    <w:rsid w:val="00256487"/>
    <w:rsid w:val="0025675A"/>
    <w:rsid w:val="002569F5"/>
    <w:rsid w:val="00256ACA"/>
    <w:rsid w:val="00256BF5"/>
    <w:rsid w:val="00256DC2"/>
    <w:rsid w:val="00256EE3"/>
    <w:rsid w:val="00257027"/>
    <w:rsid w:val="00257594"/>
    <w:rsid w:val="002575B5"/>
    <w:rsid w:val="002578D7"/>
    <w:rsid w:val="00257D9D"/>
    <w:rsid w:val="00257DC4"/>
    <w:rsid w:val="00260911"/>
    <w:rsid w:val="002610AD"/>
    <w:rsid w:val="00261379"/>
    <w:rsid w:val="00261424"/>
    <w:rsid w:val="00261652"/>
    <w:rsid w:val="002616B5"/>
    <w:rsid w:val="002617D3"/>
    <w:rsid w:val="002618F6"/>
    <w:rsid w:val="0026192F"/>
    <w:rsid w:val="00261A65"/>
    <w:rsid w:val="00261E3B"/>
    <w:rsid w:val="00262201"/>
    <w:rsid w:val="0026237E"/>
    <w:rsid w:val="0026272F"/>
    <w:rsid w:val="00262F6A"/>
    <w:rsid w:val="002630AC"/>
    <w:rsid w:val="002634CA"/>
    <w:rsid w:val="00263804"/>
    <w:rsid w:val="002638E4"/>
    <w:rsid w:val="00263B44"/>
    <w:rsid w:val="00263B60"/>
    <w:rsid w:val="002643B0"/>
    <w:rsid w:val="0026446D"/>
    <w:rsid w:val="00264483"/>
    <w:rsid w:val="0026468B"/>
    <w:rsid w:val="0026470E"/>
    <w:rsid w:val="00264953"/>
    <w:rsid w:val="0026496B"/>
    <w:rsid w:val="00264ACD"/>
    <w:rsid w:val="002656A2"/>
    <w:rsid w:val="002659BA"/>
    <w:rsid w:val="002659D0"/>
    <w:rsid w:val="002661D7"/>
    <w:rsid w:val="00266AB2"/>
    <w:rsid w:val="0026717E"/>
    <w:rsid w:val="0026727B"/>
    <w:rsid w:val="002676D9"/>
    <w:rsid w:val="00267BB8"/>
    <w:rsid w:val="00267EC9"/>
    <w:rsid w:val="00267ECA"/>
    <w:rsid w:val="002700E2"/>
    <w:rsid w:val="0027016A"/>
    <w:rsid w:val="002701EF"/>
    <w:rsid w:val="00270839"/>
    <w:rsid w:val="00270943"/>
    <w:rsid w:val="00270DAC"/>
    <w:rsid w:val="0027109A"/>
    <w:rsid w:val="0027131D"/>
    <w:rsid w:val="00271653"/>
    <w:rsid w:val="002716B4"/>
    <w:rsid w:val="00271756"/>
    <w:rsid w:val="00271794"/>
    <w:rsid w:val="00271948"/>
    <w:rsid w:val="00272DA7"/>
    <w:rsid w:val="002731CB"/>
    <w:rsid w:val="002732EC"/>
    <w:rsid w:val="002735C5"/>
    <w:rsid w:val="00273B63"/>
    <w:rsid w:val="00273D21"/>
    <w:rsid w:val="002741C5"/>
    <w:rsid w:val="0027430D"/>
    <w:rsid w:val="00274368"/>
    <w:rsid w:val="00274734"/>
    <w:rsid w:val="002750E2"/>
    <w:rsid w:val="0027515A"/>
    <w:rsid w:val="00275392"/>
    <w:rsid w:val="00275731"/>
    <w:rsid w:val="0027573D"/>
    <w:rsid w:val="0027581D"/>
    <w:rsid w:val="00275E51"/>
    <w:rsid w:val="0027621F"/>
    <w:rsid w:val="0027664E"/>
    <w:rsid w:val="0027674E"/>
    <w:rsid w:val="00276852"/>
    <w:rsid w:val="002769AF"/>
    <w:rsid w:val="00277022"/>
    <w:rsid w:val="00277156"/>
    <w:rsid w:val="002772FD"/>
    <w:rsid w:val="002775DB"/>
    <w:rsid w:val="00280220"/>
    <w:rsid w:val="00280376"/>
    <w:rsid w:val="00280414"/>
    <w:rsid w:val="00280BED"/>
    <w:rsid w:val="00280C8A"/>
    <w:rsid w:val="00281152"/>
    <w:rsid w:val="00281F77"/>
    <w:rsid w:val="002820D6"/>
    <w:rsid w:val="002828E6"/>
    <w:rsid w:val="002837A0"/>
    <w:rsid w:val="00283918"/>
    <w:rsid w:val="00283A8F"/>
    <w:rsid w:val="00284C32"/>
    <w:rsid w:val="00284FA7"/>
    <w:rsid w:val="00285470"/>
    <w:rsid w:val="002854BD"/>
    <w:rsid w:val="002855C3"/>
    <w:rsid w:val="0028572A"/>
    <w:rsid w:val="00285766"/>
    <w:rsid w:val="00285A91"/>
    <w:rsid w:val="00285B2C"/>
    <w:rsid w:val="00285B76"/>
    <w:rsid w:val="00285DF5"/>
    <w:rsid w:val="00285E72"/>
    <w:rsid w:val="0028637E"/>
    <w:rsid w:val="002867AD"/>
    <w:rsid w:val="00286C01"/>
    <w:rsid w:val="00286D52"/>
    <w:rsid w:val="002870E0"/>
    <w:rsid w:val="002871B2"/>
    <w:rsid w:val="00287E4F"/>
    <w:rsid w:val="002906A9"/>
    <w:rsid w:val="002908A6"/>
    <w:rsid w:val="00290A3D"/>
    <w:rsid w:val="00290F9F"/>
    <w:rsid w:val="00290FCE"/>
    <w:rsid w:val="002910E6"/>
    <w:rsid w:val="0029172F"/>
    <w:rsid w:val="00291988"/>
    <w:rsid w:val="00291B26"/>
    <w:rsid w:val="00291CA0"/>
    <w:rsid w:val="00291CD5"/>
    <w:rsid w:val="00291D41"/>
    <w:rsid w:val="002924DA"/>
    <w:rsid w:val="002925D5"/>
    <w:rsid w:val="002927E3"/>
    <w:rsid w:val="0029287C"/>
    <w:rsid w:val="00292BFE"/>
    <w:rsid w:val="00292C73"/>
    <w:rsid w:val="00292FB3"/>
    <w:rsid w:val="0029342A"/>
    <w:rsid w:val="00293465"/>
    <w:rsid w:val="00293778"/>
    <w:rsid w:val="0029381C"/>
    <w:rsid w:val="00293985"/>
    <w:rsid w:val="00293B45"/>
    <w:rsid w:val="00293B58"/>
    <w:rsid w:val="00293E3A"/>
    <w:rsid w:val="00293FCE"/>
    <w:rsid w:val="002940BE"/>
    <w:rsid w:val="0029425B"/>
    <w:rsid w:val="002943DE"/>
    <w:rsid w:val="00294428"/>
    <w:rsid w:val="00294477"/>
    <w:rsid w:val="002949E9"/>
    <w:rsid w:val="00294AD3"/>
    <w:rsid w:val="00294D74"/>
    <w:rsid w:val="0029509F"/>
    <w:rsid w:val="002954D8"/>
    <w:rsid w:val="00295718"/>
    <w:rsid w:val="0029586B"/>
    <w:rsid w:val="00295AC1"/>
    <w:rsid w:val="00295CE9"/>
    <w:rsid w:val="00295E58"/>
    <w:rsid w:val="00295EED"/>
    <w:rsid w:val="0029608B"/>
    <w:rsid w:val="00296CA0"/>
    <w:rsid w:val="00296D4E"/>
    <w:rsid w:val="00296DC9"/>
    <w:rsid w:val="002970EF"/>
    <w:rsid w:val="00297251"/>
    <w:rsid w:val="002972E7"/>
    <w:rsid w:val="002973AE"/>
    <w:rsid w:val="0029795D"/>
    <w:rsid w:val="00297D9D"/>
    <w:rsid w:val="002A0C47"/>
    <w:rsid w:val="002A0E10"/>
    <w:rsid w:val="002A0E6D"/>
    <w:rsid w:val="002A10FD"/>
    <w:rsid w:val="002A1128"/>
    <w:rsid w:val="002A124B"/>
    <w:rsid w:val="002A150B"/>
    <w:rsid w:val="002A1841"/>
    <w:rsid w:val="002A1FDC"/>
    <w:rsid w:val="002A20CD"/>
    <w:rsid w:val="002A2292"/>
    <w:rsid w:val="002A24AB"/>
    <w:rsid w:val="002A2A8F"/>
    <w:rsid w:val="002A2CA4"/>
    <w:rsid w:val="002A2DA3"/>
    <w:rsid w:val="002A3099"/>
    <w:rsid w:val="002A3298"/>
    <w:rsid w:val="002A34D2"/>
    <w:rsid w:val="002A3A21"/>
    <w:rsid w:val="002A3A2B"/>
    <w:rsid w:val="002A3A41"/>
    <w:rsid w:val="002A3ABF"/>
    <w:rsid w:val="002A4860"/>
    <w:rsid w:val="002A494D"/>
    <w:rsid w:val="002A4A4E"/>
    <w:rsid w:val="002A4B73"/>
    <w:rsid w:val="002A4CAA"/>
    <w:rsid w:val="002A4DDF"/>
    <w:rsid w:val="002A4E32"/>
    <w:rsid w:val="002A51C4"/>
    <w:rsid w:val="002A53CF"/>
    <w:rsid w:val="002A5AA4"/>
    <w:rsid w:val="002A5D06"/>
    <w:rsid w:val="002A63C0"/>
    <w:rsid w:val="002A65B2"/>
    <w:rsid w:val="002A6687"/>
    <w:rsid w:val="002A6797"/>
    <w:rsid w:val="002A6DA7"/>
    <w:rsid w:val="002A7714"/>
    <w:rsid w:val="002A7CBD"/>
    <w:rsid w:val="002B0255"/>
    <w:rsid w:val="002B0721"/>
    <w:rsid w:val="002B0847"/>
    <w:rsid w:val="002B0978"/>
    <w:rsid w:val="002B0AB2"/>
    <w:rsid w:val="002B161A"/>
    <w:rsid w:val="002B1B3A"/>
    <w:rsid w:val="002B1E02"/>
    <w:rsid w:val="002B1F96"/>
    <w:rsid w:val="002B2156"/>
    <w:rsid w:val="002B26E3"/>
    <w:rsid w:val="002B29F7"/>
    <w:rsid w:val="002B2AE6"/>
    <w:rsid w:val="002B2BCA"/>
    <w:rsid w:val="002B2DA5"/>
    <w:rsid w:val="002B33B8"/>
    <w:rsid w:val="002B368D"/>
    <w:rsid w:val="002B3B44"/>
    <w:rsid w:val="002B3E7B"/>
    <w:rsid w:val="002B3E8E"/>
    <w:rsid w:val="002B41AD"/>
    <w:rsid w:val="002B43D6"/>
    <w:rsid w:val="002B4672"/>
    <w:rsid w:val="002B4873"/>
    <w:rsid w:val="002B4BD6"/>
    <w:rsid w:val="002B516E"/>
    <w:rsid w:val="002B51A0"/>
    <w:rsid w:val="002B52A7"/>
    <w:rsid w:val="002B583D"/>
    <w:rsid w:val="002B592F"/>
    <w:rsid w:val="002B59AA"/>
    <w:rsid w:val="002B5EE9"/>
    <w:rsid w:val="002B63A8"/>
    <w:rsid w:val="002B684B"/>
    <w:rsid w:val="002B6C0D"/>
    <w:rsid w:val="002B6FF0"/>
    <w:rsid w:val="002B735E"/>
    <w:rsid w:val="002B743C"/>
    <w:rsid w:val="002B7E81"/>
    <w:rsid w:val="002C0297"/>
    <w:rsid w:val="002C04F4"/>
    <w:rsid w:val="002C05EA"/>
    <w:rsid w:val="002C06DA"/>
    <w:rsid w:val="002C080B"/>
    <w:rsid w:val="002C0854"/>
    <w:rsid w:val="002C0B68"/>
    <w:rsid w:val="002C0C0C"/>
    <w:rsid w:val="002C169C"/>
    <w:rsid w:val="002C1FD6"/>
    <w:rsid w:val="002C20E6"/>
    <w:rsid w:val="002C24DB"/>
    <w:rsid w:val="002C29AC"/>
    <w:rsid w:val="002C2BBC"/>
    <w:rsid w:val="002C38AA"/>
    <w:rsid w:val="002C3B25"/>
    <w:rsid w:val="002C4383"/>
    <w:rsid w:val="002C45F9"/>
    <w:rsid w:val="002C460D"/>
    <w:rsid w:val="002C46F0"/>
    <w:rsid w:val="002C4FA9"/>
    <w:rsid w:val="002C4FDB"/>
    <w:rsid w:val="002C5360"/>
    <w:rsid w:val="002C5545"/>
    <w:rsid w:val="002C569F"/>
    <w:rsid w:val="002C5B32"/>
    <w:rsid w:val="002C5D1A"/>
    <w:rsid w:val="002C612F"/>
    <w:rsid w:val="002C62F2"/>
    <w:rsid w:val="002C62FD"/>
    <w:rsid w:val="002C6626"/>
    <w:rsid w:val="002C679A"/>
    <w:rsid w:val="002C68A4"/>
    <w:rsid w:val="002C68F8"/>
    <w:rsid w:val="002C6996"/>
    <w:rsid w:val="002C69DB"/>
    <w:rsid w:val="002C6D86"/>
    <w:rsid w:val="002C7146"/>
    <w:rsid w:val="002C728B"/>
    <w:rsid w:val="002C72F7"/>
    <w:rsid w:val="002C7778"/>
    <w:rsid w:val="002D0541"/>
    <w:rsid w:val="002D0AE7"/>
    <w:rsid w:val="002D0C71"/>
    <w:rsid w:val="002D0CCB"/>
    <w:rsid w:val="002D0E3D"/>
    <w:rsid w:val="002D116C"/>
    <w:rsid w:val="002D18DF"/>
    <w:rsid w:val="002D1966"/>
    <w:rsid w:val="002D1AB5"/>
    <w:rsid w:val="002D1BFE"/>
    <w:rsid w:val="002D1F38"/>
    <w:rsid w:val="002D2014"/>
    <w:rsid w:val="002D2109"/>
    <w:rsid w:val="002D2891"/>
    <w:rsid w:val="002D2A60"/>
    <w:rsid w:val="002D2BFD"/>
    <w:rsid w:val="002D2FCF"/>
    <w:rsid w:val="002D3088"/>
    <w:rsid w:val="002D38B7"/>
    <w:rsid w:val="002D3A6C"/>
    <w:rsid w:val="002D3C47"/>
    <w:rsid w:val="002D3E25"/>
    <w:rsid w:val="002D3E3A"/>
    <w:rsid w:val="002D412A"/>
    <w:rsid w:val="002D47C8"/>
    <w:rsid w:val="002D4BCC"/>
    <w:rsid w:val="002D4D6B"/>
    <w:rsid w:val="002D4E44"/>
    <w:rsid w:val="002D56BA"/>
    <w:rsid w:val="002D5D5B"/>
    <w:rsid w:val="002D6489"/>
    <w:rsid w:val="002D663E"/>
    <w:rsid w:val="002D6AD1"/>
    <w:rsid w:val="002D6C1C"/>
    <w:rsid w:val="002D6CE5"/>
    <w:rsid w:val="002D7485"/>
    <w:rsid w:val="002D74AD"/>
    <w:rsid w:val="002D7500"/>
    <w:rsid w:val="002D7530"/>
    <w:rsid w:val="002D763A"/>
    <w:rsid w:val="002D7800"/>
    <w:rsid w:val="002D7851"/>
    <w:rsid w:val="002D7DA1"/>
    <w:rsid w:val="002D7E22"/>
    <w:rsid w:val="002D7E5C"/>
    <w:rsid w:val="002E0136"/>
    <w:rsid w:val="002E024F"/>
    <w:rsid w:val="002E0427"/>
    <w:rsid w:val="002E087E"/>
    <w:rsid w:val="002E08C0"/>
    <w:rsid w:val="002E0A7A"/>
    <w:rsid w:val="002E0BFC"/>
    <w:rsid w:val="002E0DDF"/>
    <w:rsid w:val="002E0E93"/>
    <w:rsid w:val="002E1506"/>
    <w:rsid w:val="002E1720"/>
    <w:rsid w:val="002E1A55"/>
    <w:rsid w:val="002E20DF"/>
    <w:rsid w:val="002E22D7"/>
    <w:rsid w:val="002E24DD"/>
    <w:rsid w:val="002E2613"/>
    <w:rsid w:val="002E261A"/>
    <w:rsid w:val="002E26D7"/>
    <w:rsid w:val="002E2BCD"/>
    <w:rsid w:val="002E31E8"/>
    <w:rsid w:val="002E31F7"/>
    <w:rsid w:val="002E33A9"/>
    <w:rsid w:val="002E37E1"/>
    <w:rsid w:val="002E3ED6"/>
    <w:rsid w:val="002E44C7"/>
    <w:rsid w:val="002E4562"/>
    <w:rsid w:val="002E46BF"/>
    <w:rsid w:val="002E4A70"/>
    <w:rsid w:val="002E4AFD"/>
    <w:rsid w:val="002E4D1B"/>
    <w:rsid w:val="002E4D75"/>
    <w:rsid w:val="002E4DB3"/>
    <w:rsid w:val="002E5062"/>
    <w:rsid w:val="002E66C7"/>
    <w:rsid w:val="002E6792"/>
    <w:rsid w:val="002E695F"/>
    <w:rsid w:val="002E6B28"/>
    <w:rsid w:val="002E765C"/>
    <w:rsid w:val="002E76FA"/>
    <w:rsid w:val="002E7BDE"/>
    <w:rsid w:val="002E7EA7"/>
    <w:rsid w:val="002F0119"/>
    <w:rsid w:val="002F03FA"/>
    <w:rsid w:val="002F0628"/>
    <w:rsid w:val="002F079E"/>
    <w:rsid w:val="002F08C5"/>
    <w:rsid w:val="002F1042"/>
    <w:rsid w:val="002F13F7"/>
    <w:rsid w:val="002F15EE"/>
    <w:rsid w:val="002F16BC"/>
    <w:rsid w:val="002F173A"/>
    <w:rsid w:val="002F17DF"/>
    <w:rsid w:val="002F1901"/>
    <w:rsid w:val="002F21A9"/>
    <w:rsid w:val="002F21B9"/>
    <w:rsid w:val="002F231A"/>
    <w:rsid w:val="002F28DD"/>
    <w:rsid w:val="002F29C9"/>
    <w:rsid w:val="002F2AB4"/>
    <w:rsid w:val="002F362A"/>
    <w:rsid w:val="002F389D"/>
    <w:rsid w:val="002F398B"/>
    <w:rsid w:val="002F3ECA"/>
    <w:rsid w:val="002F4082"/>
    <w:rsid w:val="002F4A54"/>
    <w:rsid w:val="002F4D77"/>
    <w:rsid w:val="002F5484"/>
    <w:rsid w:val="002F54CC"/>
    <w:rsid w:val="002F59E3"/>
    <w:rsid w:val="002F5AB0"/>
    <w:rsid w:val="002F5CEB"/>
    <w:rsid w:val="002F5ED8"/>
    <w:rsid w:val="002F614B"/>
    <w:rsid w:val="002F61FA"/>
    <w:rsid w:val="002F62DB"/>
    <w:rsid w:val="002F6449"/>
    <w:rsid w:val="002F6742"/>
    <w:rsid w:val="002F67DC"/>
    <w:rsid w:val="002F6824"/>
    <w:rsid w:val="002F68FB"/>
    <w:rsid w:val="002F6998"/>
    <w:rsid w:val="002F6A0B"/>
    <w:rsid w:val="002F6AEF"/>
    <w:rsid w:val="002F6B84"/>
    <w:rsid w:val="002F739D"/>
    <w:rsid w:val="002F74E9"/>
    <w:rsid w:val="002F7808"/>
    <w:rsid w:val="002F78E7"/>
    <w:rsid w:val="002F7EFC"/>
    <w:rsid w:val="003004E0"/>
    <w:rsid w:val="00300D02"/>
    <w:rsid w:val="00300F5C"/>
    <w:rsid w:val="003015F7"/>
    <w:rsid w:val="00301800"/>
    <w:rsid w:val="003018AB"/>
    <w:rsid w:val="00301CD0"/>
    <w:rsid w:val="00301F04"/>
    <w:rsid w:val="00301FFD"/>
    <w:rsid w:val="003022CA"/>
    <w:rsid w:val="00302440"/>
    <w:rsid w:val="003024AE"/>
    <w:rsid w:val="003027C0"/>
    <w:rsid w:val="00302C1D"/>
    <w:rsid w:val="00302D67"/>
    <w:rsid w:val="003031F2"/>
    <w:rsid w:val="0030332D"/>
    <w:rsid w:val="00303769"/>
    <w:rsid w:val="00303A41"/>
    <w:rsid w:val="00303B17"/>
    <w:rsid w:val="00304179"/>
    <w:rsid w:val="0030427E"/>
    <w:rsid w:val="00304342"/>
    <w:rsid w:val="0030486E"/>
    <w:rsid w:val="0030491C"/>
    <w:rsid w:val="0030499B"/>
    <w:rsid w:val="00304B93"/>
    <w:rsid w:val="00305028"/>
    <w:rsid w:val="003053B0"/>
    <w:rsid w:val="003058AB"/>
    <w:rsid w:val="00305A44"/>
    <w:rsid w:val="00305DCB"/>
    <w:rsid w:val="00305F2A"/>
    <w:rsid w:val="00306259"/>
    <w:rsid w:val="003064B3"/>
    <w:rsid w:val="003066A4"/>
    <w:rsid w:val="00306AC7"/>
    <w:rsid w:val="00306BDA"/>
    <w:rsid w:val="00306FED"/>
    <w:rsid w:val="00307124"/>
    <w:rsid w:val="0030731B"/>
    <w:rsid w:val="00307B2D"/>
    <w:rsid w:val="00307BED"/>
    <w:rsid w:val="00307CAB"/>
    <w:rsid w:val="00307D93"/>
    <w:rsid w:val="0031066B"/>
    <w:rsid w:val="003106C3"/>
    <w:rsid w:val="00310855"/>
    <w:rsid w:val="003108BD"/>
    <w:rsid w:val="00310924"/>
    <w:rsid w:val="00310BD4"/>
    <w:rsid w:val="00310E56"/>
    <w:rsid w:val="00310E93"/>
    <w:rsid w:val="003111EE"/>
    <w:rsid w:val="0031167A"/>
    <w:rsid w:val="0031192E"/>
    <w:rsid w:val="00311931"/>
    <w:rsid w:val="0031194A"/>
    <w:rsid w:val="00311A78"/>
    <w:rsid w:val="00311BA0"/>
    <w:rsid w:val="00311EED"/>
    <w:rsid w:val="00312506"/>
    <w:rsid w:val="0031294E"/>
    <w:rsid w:val="003129B1"/>
    <w:rsid w:val="00312A7C"/>
    <w:rsid w:val="003137A5"/>
    <w:rsid w:val="00313B17"/>
    <w:rsid w:val="00313CD7"/>
    <w:rsid w:val="003141B2"/>
    <w:rsid w:val="0031420E"/>
    <w:rsid w:val="0031432C"/>
    <w:rsid w:val="003145CB"/>
    <w:rsid w:val="0031479D"/>
    <w:rsid w:val="0031498D"/>
    <w:rsid w:val="00314A52"/>
    <w:rsid w:val="00314B1C"/>
    <w:rsid w:val="00314B76"/>
    <w:rsid w:val="00314F8D"/>
    <w:rsid w:val="003151D1"/>
    <w:rsid w:val="0031541D"/>
    <w:rsid w:val="00315481"/>
    <w:rsid w:val="003155BE"/>
    <w:rsid w:val="003159D0"/>
    <w:rsid w:val="00315B00"/>
    <w:rsid w:val="00315B27"/>
    <w:rsid w:val="0031604F"/>
    <w:rsid w:val="003160E5"/>
    <w:rsid w:val="003164C1"/>
    <w:rsid w:val="00316571"/>
    <w:rsid w:val="00316659"/>
    <w:rsid w:val="00316C72"/>
    <w:rsid w:val="00316EA2"/>
    <w:rsid w:val="00317693"/>
    <w:rsid w:val="003176F4"/>
    <w:rsid w:val="00317DCC"/>
    <w:rsid w:val="0032023E"/>
    <w:rsid w:val="0032036A"/>
    <w:rsid w:val="003204CC"/>
    <w:rsid w:val="00320C92"/>
    <w:rsid w:val="003210EC"/>
    <w:rsid w:val="003211CD"/>
    <w:rsid w:val="0032169D"/>
    <w:rsid w:val="0032176C"/>
    <w:rsid w:val="0032197E"/>
    <w:rsid w:val="00321CBD"/>
    <w:rsid w:val="0032214B"/>
    <w:rsid w:val="00322246"/>
    <w:rsid w:val="003224A0"/>
    <w:rsid w:val="003225E4"/>
    <w:rsid w:val="003228FF"/>
    <w:rsid w:val="0032290A"/>
    <w:rsid w:val="003229DC"/>
    <w:rsid w:val="00322B4D"/>
    <w:rsid w:val="00322BC8"/>
    <w:rsid w:val="00322BF2"/>
    <w:rsid w:val="00323079"/>
    <w:rsid w:val="0032309F"/>
    <w:rsid w:val="003230F0"/>
    <w:rsid w:val="00323606"/>
    <w:rsid w:val="00323752"/>
    <w:rsid w:val="003237DB"/>
    <w:rsid w:val="0032387B"/>
    <w:rsid w:val="00323892"/>
    <w:rsid w:val="00323BC1"/>
    <w:rsid w:val="00323D00"/>
    <w:rsid w:val="00323D41"/>
    <w:rsid w:val="00323E8A"/>
    <w:rsid w:val="00324890"/>
    <w:rsid w:val="00324A0B"/>
    <w:rsid w:val="00324F17"/>
    <w:rsid w:val="00325236"/>
    <w:rsid w:val="00325399"/>
    <w:rsid w:val="0032548B"/>
    <w:rsid w:val="00325CF6"/>
    <w:rsid w:val="003260B1"/>
    <w:rsid w:val="00326273"/>
    <w:rsid w:val="003262A1"/>
    <w:rsid w:val="003265C6"/>
    <w:rsid w:val="00326944"/>
    <w:rsid w:val="003269AB"/>
    <w:rsid w:val="003271DB"/>
    <w:rsid w:val="00330686"/>
    <w:rsid w:val="0033099A"/>
    <w:rsid w:val="00330AE9"/>
    <w:rsid w:val="00330D96"/>
    <w:rsid w:val="00330E8E"/>
    <w:rsid w:val="0033166C"/>
    <w:rsid w:val="0033191A"/>
    <w:rsid w:val="00331B4F"/>
    <w:rsid w:val="00331D4A"/>
    <w:rsid w:val="00331F89"/>
    <w:rsid w:val="00332003"/>
    <w:rsid w:val="0033212C"/>
    <w:rsid w:val="0033263B"/>
    <w:rsid w:val="0033264F"/>
    <w:rsid w:val="00332C1F"/>
    <w:rsid w:val="0033312E"/>
    <w:rsid w:val="0033334B"/>
    <w:rsid w:val="003334E0"/>
    <w:rsid w:val="0033367C"/>
    <w:rsid w:val="003338DA"/>
    <w:rsid w:val="00333F7E"/>
    <w:rsid w:val="003341E9"/>
    <w:rsid w:val="00334481"/>
    <w:rsid w:val="003346CF"/>
    <w:rsid w:val="00334748"/>
    <w:rsid w:val="00334ABE"/>
    <w:rsid w:val="00334E35"/>
    <w:rsid w:val="00334E5B"/>
    <w:rsid w:val="00334E87"/>
    <w:rsid w:val="00334ED3"/>
    <w:rsid w:val="003357BF"/>
    <w:rsid w:val="00335B62"/>
    <w:rsid w:val="003360A6"/>
    <w:rsid w:val="003362A1"/>
    <w:rsid w:val="003364AE"/>
    <w:rsid w:val="003364E5"/>
    <w:rsid w:val="00336668"/>
    <w:rsid w:val="0033668A"/>
    <w:rsid w:val="003366B0"/>
    <w:rsid w:val="00336E6C"/>
    <w:rsid w:val="0033717C"/>
    <w:rsid w:val="00337E19"/>
    <w:rsid w:val="0034003A"/>
    <w:rsid w:val="00340598"/>
    <w:rsid w:val="003405D3"/>
    <w:rsid w:val="00340737"/>
    <w:rsid w:val="00340CAE"/>
    <w:rsid w:val="00341065"/>
    <w:rsid w:val="003410D5"/>
    <w:rsid w:val="003411B7"/>
    <w:rsid w:val="0034127E"/>
    <w:rsid w:val="0034150E"/>
    <w:rsid w:val="003415D1"/>
    <w:rsid w:val="00341607"/>
    <w:rsid w:val="00341612"/>
    <w:rsid w:val="00341938"/>
    <w:rsid w:val="00341C17"/>
    <w:rsid w:val="0034241E"/>
    <w:rsid w:val="0034262A"/>
    <w:rsid w:val="00342687"/>
    <w:rsid w:val="0034295D"/>
    <w:rsid w:val="00342CF4"/>
    <w:rsid w:val="003431C1"/>
    <w:rsid w:val="00343443"/>
    <w:rsid w:val="003437EC"/>
    <w:rsid w:val="00344014"/>
    <w:rsid w:val="0034417A"/>
    <w:rsid w:val="003446BB"/>
    <w:rsid w:val="00344838"/>
    <w:rsid w:val="00344949"/>
    <w:rsid w:val="00344A5A"/>
    <w:rsid w:val="00345043"/>
    <w:rsid w:val="003453B3"/>
    <w:rsid w:val="003454BB"/>
    <w:rsid w:val="00345719"/>
    <w:rsid w:val="00345F1D"/>
    <w:rsid w:val="0034631A"/>
    <w:rsid w:val="00346D6E"/>
    <w:rsid w:val="00346DDB"/>
    <w:rsid w:val="0034743C"/>
    <w:rsid w:val="003474AB"/>
    <w:rsid w:val="0034759D"/>
    <w:rsid w:val="0034766A"/>
    <w:rsid w:val="00347691"/>
    <w:rsid w:val="00347712"/>
    <w:rsid w:val="00347C58"/>
    <w:rsid w:val="00350651"/>
    <w:rsid w:val="00350B7C"/>
    <w:rsid w:val="00350C6A"/>
    <w:rsid w:val="00350DCA"/>
    <w:rsid w:val="00350DCD"/>
    <w:rsid w:val="003512B4"/>
    <w:rsid w:val="003518C1"/>
    <w:rsid w:val="00351C09"/>
    <w:rsid w:val="00351D81"/>
    <w:rsid w:val="0035201F"/>
    <w:rsid w:val="003521A9"/>
    <w:rsid w:val="003527E6"/>
    <w:rsid w:val="00352A4D"/>
    <w:rsid w:val="00352D0F"/>
    <w:rsid w:val="0035324F"/>
    <w:rsid w:val="00353912"/>
    <w:rsid w:val="00353E0A"/>
    <w:rsid w:val="00354062"/>
    <w:rsid w:val="003541D9"/>
    <w:rsid w:val="00354634"/>
    <w:rsid w:val="00354B65"/>
    <w:rsid w:val="00354DE2"/>
    <w:rsid w:val="00354EE2"/>
    <w:rsid w:val="0035546A"/>
    <w:rsid w:val="0035547F"/>
    <w:rsid w:val="003554EA"/>
    <w:rsid w:val="00355D3A"/>
    <w:rsid w:val="00355F24"/>
    <w:rsid w:val="00355FCE"/>
    <w:rsid w:val="00356155"/>
    <w:rsid w:val="003561A1"/>
    <w:rsid w:val="00356204"/>
    <w:rsid w:val="0035622A"/>
    <w:rsid w:val="00356259"/>
    <w:rsid w:val="0035689C"/>
    <w:rsid w:val="0035701F"/>
    <w:rsid w:val="00357535"/>
    <w:rsid w:val="0035779B"/>
    <w:rsid w:val="00357AB9"/>
    <w:rsid w:val="00357B5B"/>
    <w:rsid w:val="00357CFE"/>
    <w:rsid w:val="00357EAD"/>
    <w:rsid w:val="00357FB5"/>
    <w:rsid w:val="00357FEE"/>
    <w:rsid w:val="0036065A"/>
    <w:rsid w:val="00360BB0"/>
    <w:rsid w:val="00360E2C"/>
    <w:rsid w:val="003612C6"/>
    <w:rsid w:val="003613B0"/>
    <w:rsid w:val="003614BF"/>
    <w:rsid w:val="00361577"/>
    <w:rsid w:val="0036190B"/>
    <w:rsid w:val="00361C90"/>
    <w:rsid w:val="00361E37"/>
    <w:rsid w:val="00362A40"/>
    <w:rsid w:val="00362C28"/>
    <w:rsid w:val="00363A70"/>
    <w:rsid w:val="0036406C"/>
    <w:rsid w:val="0036408B"/>
    <w:rsid w:val="003640C6"/>
    <w:rsid w:val="0036429C"/>
    <w:rsid w:val="00364366"/>
    <w:rsid w:val="0036479A"/>
    <w:rsid w:val="00364B13"/>
    <w:rsid w:val="00364B2B"/>
    <w:rsid w:val="00364DA6"/>
    <w:rsid w:val="00364F20"/>
    <w:rsid w:val="00365129"/>
    <w:rsid w:val="003651DA"/>
    <w:rsid w:val="003657F0"/>
    <w:rsid w:val="003658FC"/>
    <w:rsid w:val="00365BDA"/>
    <w:rsid w:val="00365C2E"/>
    <w:rsid w:val="00366343"/>
    <w:rsid w:val="0036658C"/>
    <w:rsid w:val="00366823"/>
    <w:rsid w:val="003669BC"/>
    <w:rsid w:val="0036764B"/>
    <w:rsid w:val="0036772A"/>
    <w:rsid w:val="00370E15"/>
    <w:rsid w:val="00370FA3"/>
    <w:rsid w:val="00371600"/>
    <w:rsid w:val="003717BB"/>
    <w:rsid w:val="00371854"/>
    <w:rsid w:val="003718D3"/>
    <w:rsid w:val="00372438"/>
    <w:rsid w:val="0037248F"/>
    <w:rsid w:val="00372C60"/>
    <w:rsid w:val="003730DF"/>
    <w:rsid w:val="0037341A"/>
    <w:rsid w:val="003734FE"/>
    <w:rsid w:val="0037396A"/>
    <w:rsid w:val="00373D61"/>
    <w:rsid w:val="003745D6"/>
    <w:rsid w:val="00374696"/>
    <w:rsid w:val="003749B8"/>
    <w:rsid w:val="0037514E"/>
    <w:rsid w:val="00375213"/>
    <w:rsid w:val="0037534E"/>
    <w:rsid w:val="00375445"/>
    <w:rsid w:val="00375565"/>
    <w:rsid w:val="00375907"/>
    <w:rsid w:val="0037591D"/>
    <w:rsid w:val="00375E27"/>
    <w:rsid w:val="00375E48"/>
    <w:rsid w:val="00376027"/>
    <w:rsid w:val="0037608E"/>
    <w:rsid w:val="003760F2"/>
    <w:rsid w:val="003761A1"/>
    <w:rsid w:val="0037630A"/>
    <w:rsid w:val="00376558"/>
    <w:rsid w:val="00376BAA"/>
    <w:rsid w:val="00376CFC"/>
    <w:rsid w:val="00376E59"/>
    <w:rsid w:val="00377134"/>
    <w:rsid w:val="0037735D"/>
    <w:rsid w:val="0037736E"/>
    <w:rsid w:val="00377C76"/>
    <w:rsid w:val="00380276"/>
    <w:rsid w:val="003803C3"/>
    <w:rsid w:val="0038056F"/>
    <w:rsid w:val="00380BFF"/>
    <w:rsid w:val="00380CA0"/>
    <w:rsid w:val="00381069"/>
    <w:rsid w:val="003810F5"/>
    <w:rsid w:val="003815D5"/>
    <w:rsid w:val="00381965"/>
    <w:rsid w:val="00382033"/>
    <w:rsid w:val="003822DC"/>
    <w:rsid w:val="00382528"/>
    <w:rsid w:val="00382904"/>
    <w:rsid w:val="00382A3F"/>
    <w:rsid w:val="00382C53"/>
    <w:rsid w:val="00382D47"/>
    <w:rsid w:val="00383187"/>
    <w:rsid w:val="0038318E"/>
    <w:rsid w:val="003837BF"/>
    <w:rsid w:val="0038391A"/>
    <w:rsid w:val="0038395C"/>
    <w:rsid w:val="00383AC4"/>
    <w:rsid w:val="00383DDB"/>
    <w:rsid w:val="00384274"/>
    <w:rsid w:val="00384276"/>
    <w:rsid w:val="0038432E"/>
    <w:rsid w:val="003843B8"/>
    <w:rsid w:val="003844CE"/>
    <w:rsid w:val="0038489B"/>
    <w:rsid w:val="00384A2D"/>
    <w:rsid w:val="00384ADE"/>
    <w:rsid w:val="00384E81"/>
    <w:rsid w:val="0038521F"/>
    <w:rsid w:val="0038530A"/>
    <w:rsid w:val="0038535C"/>
    <w:rsid w:val="00385C29"/>
    <w:rsid w:val="00385D42"/>
    <w:rsid w:val="00385DB1"/>
    <w:rsid w:val="003868BA"/>
    <w:rsid w:val="00386D9F"/>
    <w:rsid w:val="003900A7"/>
    <w:rsid w:val="0039168A"/>
    <w:rsid w:val="00391C23"/>
    <w:rsid w:val="00391ECD"/>
    <w:rsid w:val="00391F9B"/>
    <w:rsid w:val="00392318"/>
    <w:rsid w:val="00392427"/>
    <w:rsid w:val="00392642"/>
    <w:rsid w:val="0039265D"/>
    <w:rsid w:val="00392812"/>
    <w:rsid w:val="003928B9"/>
    <w:rsid w:val="00392CD4"/>
    <w:rsid w:val="00392CF7"/>
    <w:rsid w:val="00392E4A"/>
    <w:rsid w:val="00393109"/>
    <w:rsid w:val="003934EE"/>
    <w:rsid w:val="00393530"/>
    <w:rsid w:val="00393658"/>
    <w:rsid w:val="00393785"/>
    <w:rsid w:val="00393896"/>
    <w:rsid w:val="00393A8F"/>
    <w:rsid w:val="00393D08"/>
    <w:rsid w:val="00393F04"/>
    <w:rsid w:val="00393F77"/>
    <w:rsid w:val="00394373"/>
    <w:rsid w:val="0039472A"/>
    <w:rsid w:val="00394CB4"/>
    <w:rsid w:val="00394DBA"/>
    <w:rsid w:val="00394E27"/>
    <w:rsid w:val="00395001"/>
    <w:rsid w:val="00395018"/>
    <w:rsid w:val="0039603D"/>
    <w:rsid w:val="003962C5"/>
    <w:rsid w:val="003966B3"/>
    <w:rsid w:val="00396A93"/>
    <w:rsid w:val="00396B0F"/>
    <w:rsid w:val="00397133"/>
    <w:rsid w:val="00397245"/>
    <w:rsid w:val="003972D2"/>
    <w:rsid w:val="00397CE5"/>
    <w:rsid w:val="00397D19"/>
    <w:rsid w:val="003A0071"/>
    <w:rsid w:val="003A07E9"/>
    <w:rsid w:val="003A0914"/>
    <w:rsid w:val="003A100F"/>
    <w:rsid w:val="003A128F"/>
    <w:rsid w:val="003A199C"/>
    <w:rsid w:val="003A24A6"/>
    <w:rsid w:val="003A2674"/>
    <w:rsid w:val="003A28E4"/>
    <w:rsid w:val="003A297B"/>
    <w:rsid w:val="003A2B83"/>
    <w:rsid w:val="003A2C1A"/>
    <w:rsid w:val="003A2D89"/>
    <w:rsid w:val="003A2E70"/>
    <w:rsid w:val="003A339E"/>
    <w:rsid w:val="003A40AD"/>
    <w:rsid w:val="003A4AD2"/>
    <w:rsid w:val="003A4BD5"/>
    <w:rsid w:val="003A4D10"/>
    <w:rsid w:val="003A4D1B"/>
    <w:rsid w:val="003A4D44"/>
    <w:rsid w:val="003A4DF4"/>
    <w:rsid w:val="003A4EE1"/>
    <w:rsid w:val="003A4F57"/>
    <w:rsid w:val="003A522D"/>
    <w:rsid w:val="003A525B"/>
    <w:rsid w:val="003A5832"/>
    <w:rsid w:val="003A5BB3"/>
    <w:rsid w:val="003A5DB3"/>
    <w:rsid w:val="003A6155"/>
    <w:rsid w:val="003A6347"/>
    <w:rsid w:val="003A6448"/>
    <w:rsid w:val="003A67F2"/>
    <w:rsid w:val="003A6A89"/>
    <w:rsid w:val="003A6ABB"/>
    <w:rsid w:val="003A6E95"/>
    <w:rsid w:val="003A78AC"/>
    <w:rsid w:val="003A7B70"/>
    <w:rsid w:val="003B0066"/>
    <w:rsid w:val="003B039C"/>
    <w:rsid w:val="003B0457"/>
    <w:rsid w:val="003B05FA"/>
    <w:rsid w:val="003B0944"/>
    <w:rsid w:val="003B0ED8"/>
    <w:rsid w:val="003B114E"/>
    <w:rsid w:val="003B119B"/>
    <w:rsid w:val="003B1230"/>
    <w:rsid w:val="003B12F7"/>
    <w:rsid w:val="003B1344"/>
    <w:rsid w:val="003B16C1"/>
    <w:rsid w:val="003B176B"/>
    <w:rsid w:val="003B181E"/>
    <w:rsid w:val="003B18F2"/>
    <w:rsid w:val="003B1AEC"/>
    <w:rsid w:val="003B1E2A"/>
    <w:rsid w:val="003B1F6E"/>
    <w:rsid w:val="003B2032"/>
    <w:rsid w:val="003B212E"/>
    <w:rsid w:val="003B234C"/>
    <w:rsid w:val="003B2641"/>
    <w:rsid w:val="003B2915"/>
    <w:rsid w:val="003B2C49"/>
    <w:rsid w:val="003B2D4E"/>
    <w:rsid w:val="003B2F44"/>
    <w:rsid w:val="003B31DE"/>
    <w:rsid w:val="003B3324"/>
    <w:rsid w:val="003B3635"/>
    <w:rsid w:val="003B389C"/>
    <w:rsid w:val="003B38B6"/>
    <w:rsid w:val="003B4257"/>
    <w:rsid w:val="003B47A2"/>
    <w:rsid w:val="003B4981"/>
    <w:rsid w:val="003B5B51"/>
    <w:rsid w:val="003B5C45"/>
    <w:rsid w:val="003B6070"/>
    <w:rsid w:val="003B6198"/>
    <w:rsid w:val="003B636F"/>
    <w:rsid w:val="003B6554"/>
    <w:rsid w:val="003B65DE"/>
    <w:rsid w:val="003B68BF"/>
    <w:rsid w:val="003B6967"/>
    <w:rsid w:val="003B6D62"/>
    <w:rsid w:val="003B79C4"/>
    <w:rsid w:val="003B7D8F"/>
    <w:rsid w:val="003C0394"/>
    <w:rsid w:val="003C0ACD"/>
    <w:rsid w:val="003C0D40"/>
    <w:rsid w:val="003C0D86"/>
    <w:rsid w:val="003C0E13"/>
    <w:rsid w:val="003C1216"/>
    <w:rsid w:val="003C157B"/>
    <w:rsid w:val="003C182D"/>
    <w:rsid w:val="003C1F0C"/>
    <w:rsid w:val="003C1F65"/>
    <w:rsid w:val="003C21A4"/>
    <w:rsid w:val="003C2207"/>
    <w:rsid w:val="003C2496"/>
    <w:rsid w:val="003C26E4"/>
    <w:rsid w:val="003C27A7"/>
    <w:rsid w:val="003C2BC8"/>
    <w:rsid w:val="003C3137"/>
    <w:rsid w:val="003C3821"/>
    <w:rsid w:val="003C3901"/>
    <w:rsid w:val="003C39E0"/>
    <w:rsid w:val="003C3AB1"/>
    <w:rsid w:val="003C3ED0"/>
    <w:rsid w:val="003C3F28"/>
    <w:rsid w:val="003C4312"/>
    <w:rsid w:val="003C4B59"/>
    <w:rsid w:val="003C4B79"/>
    <w:rsid w:val="003C4F18"/>
    <w:rsid w:val="003C5A21"/>
    <w:rsid w:val="003C5B65"/>
    <w:rsid w:val="003C5B7E"/>
    <w:rsid w:val="003C5BBB"/>
    <w:rsid w:val="003C5DF0"/>
    <w:rsid w:val="003C607A"/>
    <w:rsid w:val="003C6087"/>
    <w:rsid w:val="003C61D9"/>
    <w:rsid w:val="003C630D"/>
    <w:rsid w:val="003C6D61"/>
    <w:rsid w:val="003C7258"/>
    <w:rsid w:val="003C729D"/>
    <w:rsid w:val="003C7474"/>
    <w:rsid w:val="003C77FE"/>
    <w:rsid w:val="003C7932"/>
    <w:rsid w:val="003C7B8D"/>
    <w:rsid w:val="003D071B"/>
    <w:rsid w:val="003D0879"/>
    <w:rsid w:val="003D0F0B"/>
    <w:rsid w:val="003D1794"/>
    <w:rsid w:val="003D19EC"/>
    <w:rsid w:val="003D1CFC"/>
    <w:rsid w:val="003D1FB3"/>
    <w:rsid w:val="003D2354"/>
    <w:rsid w:val="003D248A"/>
    <w:rsid w:val="003D25BF"/>
    <w:rsid w:val="003D2EB1"/>
    <w:rsid w:val="003D2EF8"/>
    <w:rsid w:val="003D2F20"/>
    <w:rsid w:val="003D33ED"/>
    <w:rsid w:val="003D35BD"/>
    <w:rsid w:val="003D3C39"/>
    <w:rsid w:val="003D3C6E"/>
    <w:rsid w:val="003D3EA3"/>
    <w:rsid w:val="003D3F95"/>
    <w:rsid w:val="003D4177"/>
    <w:rsid w:val="003D4199"/>
    <w:rsid w:val="003D4560"/>
    <w:rsid w:val="003D45C9"/>
    <w:rsid w:val="003D4914"/>
    <w:rsid w:val="003D4A82"/>
    <w:rsid w:val="003D4CC5"/>
    <w:rsid w:val="003D50E2"/>
    <w:rsid w:val="003D5489"/>
    <w:rsid w:val="003D5B00"/>
    <w:rsid w:val="003D5E26"/>
    <w:rsid w:val="003D5E83"/>
    <w:rsid w:val="003D6A36"/>
    <w:rsid w:val="003D6A44"/>
    <w:rsid w:val="003D758C"/>
    <w:rsid w:val="003D781A"/>
    <w:rsid w:val="003D78C5"/>
    <w:rsid w:val="003D79C1"/>
    <w:rsid w:val="003D7BA5"/>
    <w:rsid w:val="003D7C0F"/>
    <w:rsid w:val="003D7C2F"/>
    <w:rsid w:val="003D7DFC"/>
    <w:rsid w:val="003D7FB5"/>
    <w:rsid w:val="003E052A"/>
    <w:rsid w:val="003E06A3"/>
    <w:rsid w:val="003E0858"/>
    <w:rsid w:val="003E12BB"/>
    <w:rsid w:val="003E1388"/>
    <w:rsid w:val="003E141B"/>
    <w:rsid w:val="003E14D4"/>
    <w:rsid w:val="003E173B"/>
    <w:rsid w:val="003E1A0E"/>
    <w:rsid w:val="003E2932"/>
    <w:rsid w:val="003E2E44"/>
    <w:rsid w:val="003E3330"/>
    <w:rsid w:val="003E3379"/>
    <w:rsid w:val="003E34D9"/>
    <w:rsid w:val="003E34E1"/>
    <w:rsid w:val="003E3A79"/>
    <w:rsid w:val="003E3DCC"/>
    <w:rsid w:val="003E3E29"/>
    <w:rsid w:val="003E404E"/>
    <w:rsid w:val="003E4968"/>
    <w:rsid w:val="003E49A5"/>
    <w:rsid w:val="003E4F4C"/>
    <w:rsid w:val="003E51B1"/>
    <w:rsid w:val="003E53FC"/>
    <w:rsid w:val="003E5568"/>
    <w:rsid w:val="003E5822"/>
    <w:rsid w:val="003E5E8E"/>
    <w:rsid w:val="003E6BA1"/>
    <w:rsid w:val="003E6D2A"/>
    <w:rsid w:val="003E7035"/>
    <w:rsid w:val="003E740C"/>
    <w:rsid w:val="003E747B"/>
    <w:rsid w:val="003E79D3"/>
    <w:rsid w:val="003E7D59"/>
    <w:rsid w:val="003F038B"/>
    <w:rsid w:val="003F0548"/>
    <w:rsid w:val="003F0679"/>
    <w:rsid w:val="003F078B"/>
    <w:rsid w:val="003F09AF"/>
    <w:rsid w:val="003F09D1"/>
    <w:rsid w:val="003F10E8"/>
    <w:rsid w:val="003F11FA"/>
    <w:rsid w:val="003F16D0"/>
    <w:rsid w:val="003F16D6"/>
    <w:rsid w:val="003F1F6F"/>
    <w:rsid w:val="003F290D"/>
    <w:rsid w:val="003F2FC1"/>
    <w:rsid w:val="003F2FCD"/>
    <w:rsid w:val="003F33C0"/>
    <w:rsid w:val="003F33DA"/>
    <w:rsid w:val="003F423E"/>
    <w:rsid w:val="003F48BB"/>
    <w:rsid w:val="003F4C26"/>
    <w:rsid w:val="003F520D"/>
    <w:rsid w:val="003F5697"/>
    <w:rsid w:val="003F5761"/>
    <w:rsid w:val="003F5948"/>
    <w:rsid w:val="003F5B1F"/>
    <w:rsid w:val="003F5C0D"/>
    <w:rsid w:val="003F638B"/>
    <w:rsid w:val="003F638D"/>
    <w:rsid w:val="003F6395"/>
    <w:rsid w:val="003F6440"/>
    <w:rsid w:val="003F648F"/>
    <w:rsid w:val="003F65D8"/>
    <w:rsid w:val="003F6B8C"/>
    <w:rsid w:val="003F6E39"/>
    <w:rsid w:val="003F72AD"/>
    <w:rsid w:val="003F7312"/>
    <w:rsid w:val="003F7542"/>
    <w:rsid w:val="003F7A85"/>
    <w:rsid w:val="003F7ACE"/>
    <w:rsid w:val="003F7B90"/>
    <w:rsid w:val="003F7EA4"/>
    <w:rsid w:val="003F7FBA"/>
    <w:rsid w:val="0040031F"/>
    <w:rsid w:val="004005D8"/>
    <w:rsid w:val="00400B9D"/>
    <w:rsid w:val="00400C53"/>
    <w:rsid w:val="00400C9C"/>
    <w:rsid w:val="00400E9E"/>
    <w:rsid w:val="00400EC5"/>
    <w:rsid w:val="00400FA0"/>
    <w:rsid w:val="00400FF5"/>
    <w:rsid w:val="0040122D"/>
    <w:rsid w:val="00401364"/>
    <w:rsid w:val="004018E5"/>
    <w:rsid w:val="0040190E"/>
    <w:rsid w:val="004019DA"/>
    <w:rsid w:val="00401D85"/>
    <w:rsid w:val="0040229B"/>
    <w:rsid w:val="0040243E"/>
    <w:rsid w:val="004024A8"/>
    <w:rsid w:val="004029AC"/>
    <w:rsid w:val="00402B9E"/>
    <w:rsid w:val="00402C60"/>
    <w:rsid w:val="00402CC5"/>
    <w:rsid w:val="004034B3"/>
    <w:rsid w:val="004036F8"/>
    <w:rsid w:val="00403827"/>
    <w:rsid w:val="0040384E"/>
    <w:rsid w:val="00403D72"/>
    <w:rsid w:val="00403EB9"/>
    <w:rsid w:val="004040BE"/>
    <w:rsid w:val="00404B26"/>
    <w:rsid w:val="00404CF2"/>
    <w:rsid w:val="00404F84"/>
    <w:rsid w:val="004050BA"/>
    <w:rsid w:val="0040560B"/>
    <w:rsid w:val="00405DDD"/>
    <w:rsid w:val="00405EDA"/>
    <w:rsid w:val="00405F95"/>
    <w:rsid w:val="00406106"/>
    <w:rsid w:val="00406583"/>
    <w:rsid w:val="004066AC"/>
    <w:rsid w:val="0040728E"/>
    <w:rsid w:val="0040754A"/>
    <w:rsid w:val="0040757A"/>
    <w:rsid w:val="004075CE"/>
    <w:rsid w:val="004075F4"/>
    <w:rsid w:val="00407890"/>
    <w:rsid w:val="004079AF"/>
    <w:rsid w:val="004079DA"/>
    <w:rsid w:val="00407C62"/>
    <w:rsid w:val="0041057C"/>
    <w:rsid w:val="00410BFB"/>
    <w:rsid w:val="00410C55"/>
    <w:rsid w:val="00410F1F"/>
    <w:rsid w:val="00411301"/>
    <w:rsid w:val="004115F7"/>
    <w:rsid w:val="00411842"/>
    <w:rsid w:val="00411AEE"/>
    <w:rsid w:val="004124FB"/>
    <w:rsid w:val="00412B32"/>
    <w:rsid w:val="00412C76"/>
    <w:rsid w:val="00412D39"/>
    <w:rsid w:val="00413368"/>
    <w:rsid w:val="00413B23"/>
    <w:rsid w:val="00413ECC"/>
    <w:rsid w:val="00414101"/>
    <w:rsid w:val="0041413F"/>
    <w:rsid w:val="00414195"/>
    <w:rsid w:val="004147C2"/>
    <w:rsid w:val="00415080"/>
    <w:rsid w:val="004150D9"/>
    <w:rsid w:val="004151F9"/>
    <w:rsid w:val="00415273"/>
    <w:rsid w:val="004152C3"/>
    <w:rsid w:val="0041603F"/>
    <w:rsid w:val="004160E0"/>
    <w:rsid w:val="00416390"/>
    <w:rsid w:val="00416568"/>
    <w:rsid w:val="0041669B"/>
    <w:rsid w:val="004167DF"/>
    <w:rsid w:val="00416D96"/>
    <w:rsid w:val="0041714E"/>
    <w:rsid w:val="00417421"/>
    <w:rsid w:val="004175D5"/>
    <w:rsid w:val="0041780E"/>
    <w:rsid w:val="00417EB9"/>
    <w:rsid w:val="00417F6A"/>
    <w:rsid w:val="00417FB6"/>
    <w:rsid w:val="00420462"/>
    <w:rsid w:val="0042062C"/>
    <w:rsid w:val="00421218"/>
    <w:rsid w:val="004218DF"/>
    <w:rsid w:val="00421A48"/>
    <w:rsid w:val="00421B80"/>
    <w:rsid w:val="00421BAA"/>
    <w:rsid w:val="00421C1C"/>
    <w:rsid w:val="00421D92"/>
    <w:rsid w:val="00421F16"/>
    <w:rsid w:val="00422148"/>
    <w:rsid w:val="004228FB"/>
    <w:rsid w:val="00422F3A"/>
    <w:rsid w:val="00423485"/>
    <w:rsid w:val="0042442B"/>
    <w:rsid w:val="004244FA"/>
    <w:rsid w:val="00424844"/>
    <w:rsid w:val="00424D25"/>
    <w:rsid w:val="004251A1"/>
    <w:rsid w:val="00425268"/>
    <w:rsid w:val="00425342"/>
    <w:rsid w:val="004253D1"/>
    <w:rsid w:val="004265B3"/>
    <w:rsid w:val="004265CD"/>
    <w:rsid w:val="0042719A"/>
    <w:rsid w:val="00427229"/>
    <w:rsid w:val="00427B61"/>
    <w:rsid w:val="00427F47"/>
    <w:rsid w:val="00430AFF"/>
    <w:rsid w:val="00431265"/>
    <w:rsid w:val="0043134A"/>
    <w:rsid w:val="00431A02"/>
    <w:rsid w:val="004325A5"/>
    <w:rsid w:val="004327A9"/>
    <w:rsid w:val="00432B4E"/>
    <w:rsid w:val="00432BE0"/>
    <w:rsid w:val="00432FF9"/>
    <w:rsid w:val="0043312A"/>
    <w:rsid w:val="00433199"/>
    <w:rsid w:val="00433668"/>
    <w:rsid w:val="00433A10"/>
    <w:rsid w:val="00433DCD"/>
    <w:rsid w:val="00433EE3"/>
    <w:rsid w:val="00433EEA"/>
    <w:rsid w:val="00433F03"/>
    <w:rsid w:val="0043431E"/>
    <w:rsid w:val="004346F2"/>
    <w:rsid w:val="0043479D"/>
    <w:rsid w:val="00434DE9"/>
    <w:rsid w:val="004352E6"/>
    <w:rsid w:val="0043585D"/>
    <w:rsid w:val="004364DF"/>
    <w:rsid w:val="00436F13"/>
    <w:rsid w:val="00436FA9"/>
    <w:rsid w:val="004372E8"/>
    <w:rsid w:val="004373D0"/>
    <w:rsid w:val="0043744E"/>
    <w:rsid w:val="00440345"/>
    <w:rsid w:val="00440DAB"/>
    <w:rsid w:val="00440EE4"/>
    <w:rsid w:val="004411AB"/>
    <w:rsid w:val="00441397"/>
    <w:rsid w:val="0044177E"/>
    <w:rsid w:val="004421D1"/>
    <w:rsid w:val="00442A8D"/>
    <w:rsid w:val="00442B03"/>
    <w:rsid w:val="00442D37"/>
    <w:rsid w:val="00442DB7"/>
    <w:rsid w:val="004431D9"/>
    <w:rsid w:val="004434D7"/>
    <w:rsid w:val="00444450"/>
    <w:rsid w:val="00444607"/>
    <w:rsid w:val="004447CE"/>
    <w:rsid w:val="004448C9"/>
    <w:rsid w:val="00444A2D"/>
    <w:rsid w:val="00444A8A"/>
    <w:rsid w:val="004458F1"/>
    <w:rsid w:val="00445F6E"/>
    <w:rsid w:val="0044676F"/>
    <w:rsid w:val="0044679E"/>
    <w:rsid w:val="00446F30"/>
    <w:rsid w:val="004474E6"/>
    <w:rsid w:val="00447B78"/>
    <w:rsid w:val="00447C1D"/>
    <w:rsid w:val="0045001E"/>
    <w:rsid w:val="00450139"/>
    <w:rsid w:val="00450897"/>
    <w:rsid w:val="00450BA0"/>
    <w:rsid w:val="00450BC8"/>
    <w:rsid w:val="00450CA3"/>
    <w:rsid w:val="00450F65"/>
    <w:rsid w:val="00450FBB"/>
    <w:rsid w:val="00451480"/>
    <w:rsid w:val="00451AAE"/>
    <w:rsid w:val="00451ED0"/>
    <w:rsid w:val="00451FF8"/>
    <w:rsid w:val="00452345"/>
    <w:rsid w:val="00452587"/>
    <w:rsid w:val="004526CD"/>
    <w:rsid w:val="00452757"/>
    <w:rsid w:val="00452868"/>
    <w:rsid w:val="00452902"/>
    <w:rsid w:val="00452B9A"/>
    <w:rsid w:val="00452D5F"/>
    <w:rsid w:val="00452F90"/>
    <w:rsid w:val="00453052"/>
    <w:rsid w:val="00453329"/>
    <w:rsid w:val="00453555"/>
    <w:rsid w:val="00453915"/>
    <w:rsid w:val="00453C63"/>
    <w:rsid w:val="00453DDF"/>
    <w:rsid w:val="00454582"/>
    <w:rsid w:val="004546A0"/>
    <w:rsid w:val="004546E6"/>
    <w:rsid w:val="00454DFB"/>
    <w:rsid w:val="00455370"/>
    <w:rsid w:val="00455405"/>
    <w:rsid w:val="00455454"/>
    <w:rsid w:val="0045554A"/>
    <w:rsid w:val="00455E7A"/>
    <w:rsid w:val="00455F92"/>
    <w:rsid w:val="00456083"/>
    <w:rsid w:val="004562F5"/>
    <w:rsid w:val="004564FF"/>
    <w:rsid w:val="00456981"/>
    <w:rsid w:val="00456AF5"/>
    <w:rsid w:val="004573BD"/>
    <w:rsid w:val="004574AB"/>
    <w:rsid w:val="0045765B"/>
    <w:rsid w:val="00457A2C"/>
    <w:rsid w:val="00457F69"/>
    <w:rsid w:val="00457F72"/>
    <w:rsid w:val="00460044"/>
    <w:rsid w:val="00460092"/>
    <w:rsid w:val="00460102"/>
    <w:rsid w:val="004602EB"/>
    <w:rsid w:val="00460BB0"/>
    <w:rsid w:val="00460F91"/>
    <w:rsid w:val="0046113B"/>
    <w:rsid w:val="0046118E"/>
    <w:rsid w:val="004611B4"/>
    <w:rsid w:val="00461210"/>
    <w:rsid w:val="00461254"/>
    <w:rsid w:val="00461DCA"/>
    <w:rsid w:val="00461F56"/>
    <w:rsid w:val="0046234F"/>
    <w:rsid w:val="0046258B"/>
    <w:rsid w:val="00462BF9"/>
    <w:rsid w:val="00462E3C"/>
    <w:rsid w:val="0046330E"/>
    <w:rsid w:val="00464450"/>
    <w:rsid w:val="004645C8"/>
    <w:rsid w:val="0046488A"/>
    <w:rsid w:val="00464D6F"/>
    <w:rsid w:val="0046503C"/>
    <w:rsid w:val="004651E2"/>
    <w:rsid w:val="00465269"/>
    <w:rsid w:val="00465517"/>
    <w:rsid w:val="0046574F"/>
    <w:rsid w:val="00465B3E"/>
    <w:rsid w:val="00465FF9"/>
    <w:rsid w:val="00466E5D"/>
    <w:rsid w:val="004674F5"/>
    <w:rsid w:val="00467575"/>
    <w:rsid w:val="004677DE"/>
    <w:rsid w:val="00467B48"/>
    <w:rsid w:val="00467CB7"/>
    <w:rsid w:val="00467DC4"/>
    <w:rsid w:val="00470490"/>
    <w:rsid w:val="00470574"/>
    <w:rsid w:val="0047072C"/>
    <w:rsid w:val="004707AC"/>
    <w:rsid w:val="00470993"/>
    <w:rsid w:val="00470A8B"/>
    <w:rsid w:val="00470B3C"/>
    <w:rsid w:val="00470BBE"/>
    <w:rsid w:val="00471379"/>
    <w:rsid w:val="00471490"/>
    <w:rsid w:val="004716A6"/>
    <w:rsid w:val="004716D7"/>
    <w:rsid w:val="00471733"/>
    <w:rsid w:val="00471799"/>
    <w:rsid w:val="00471801"/>
    <w:rsid w:val="00471C54"/>
    <w:rsid w:val="00471DB2"/>
    <w:rsid w:val="0047201F"/>
    <w:rsid w:val="00472209"/>
    <w:rsid w:val="00472222"/>
    <w:rsid w:val="004722E6"/>
    <w:rsid w:val="0047233A"/>
    <w:rsid w:val="0047291A"/>
    <w:rsid w:val="00472A12"/>
    <w:rsid w:val="00472C67"/>
    <w:rsid w:val="00472F88"/>
    <w:rsid w:val="004730B8"/>
    <w:rsid w:val="00473412"/>
    <w:rsid w:val="00473577"/>
    <w:rsid w:val="004736BF"/>
    <w:rsid w:val="0047377D"/>
    <w:rsid w:val="004738DD"/>
    <w:rsid w:val="00473AD7"/>
    <w:rsid w:val="00473B7F"/>
    <w:rsid w:val="00473BB2"/>
    <w:rsid w:val="00473FE1"/>
    <w:rsid w:val="00474824"/>
    <w:rsid w:val="0047485D"/>
    <w:rsid w:val="00474A3C"/>
    <w:rsid w:val="00474DFE"/>
    <w:rsid w:val="0047503E"/>
    <w:rsid w:val="0047517B"/>
    <w:rsid w:val="0047523C"/>
    <w:rsid w:val="0047525E"/>
    <w:rsid w:val="004753BF"/>
    <w:rsid w:val="00475844"/>
    <w:rsid w:val="00475C9F"/>
    <w:rsid w:val="00475CDC"/>
    <w:rsid w:val="00475E9B"/>
    <w:rsid w:val="00476196"/>
    <w:rsid w:val="00476B3D"/>
    <w:rsid w:val="00476BD9"/>
    <w:rsid w:val="0047712E"/>
    <w:rsid w:val="0047723B"/>
    <w:rsid w:val="004772C9"/>
    <w:rsid w:val="0047773B"/>
    <w:rsid w:val="00477D51"/>
    <w:rsid w:val="00477E9D"/>
    <w:rsid w:val="00480502"/>
    <w:rsid w:val="00480A3E"/>
    <w:rsid w:val="00480E56"/>
    <w:rsid w:val="0048174B"/>
    <w:rsid w:val="00481806"/>
    <w:rsid w:val="0048183F"/>
    <w:rsid w:val="00481EAE"/>
    <w:rsid w:val="00482580"/>
    <w:rsid w:val="0048261D"/>
    <w:rsid w:val="00482744"/>
    <w:rsid w:val="00482CF2"/>
    <w:rsid w:val="00482EC9"/>
    <w:rsid w:val="00482F8A"/>
    <w:rsid w:val="0048304F"/>
    <w:rsid w:val="00483369"/>
    <w:rsid w:val="00483448"/>
    <w:rsid w:val="00483AF6"/>
    <w:rsid w:val="00483C2A"/>
    <w:rsid w:val="00483CAC"/>
    <w:rsid w:val="00483F5E"/>
    <w:rsid w:val="004840ED"/>
    <w:rsid w:val="00484213"/>
    <w:rsid w:val="00484A7B"/>
    <w:rsid w:val="0048507F"/>
    <w:rsid w:val="00485651"/>
    <w:rsid w:val="0048586C"/>
    <w:rsid w:val="0048589F"/>
    <w:rsid w:val="00485E98"/>
    <w:rsid w:val="00486802"/>
    <w:rsid w:val="0048697F"/>
    <w:rsid w:val="004869C2"/>
    <w:rsid w:val="00486CEF"/>
    <w:rsid w:val="004871A2"/>
    <w:rsid w:val="00487261"/>
    <w:rsid w:val="0048742A"/>
    <w:rsid w:val="00487702"/>
    <w:rsid w:val="004878BC"/>
    <w:rsid w:val="00487998"/>
    <w:rsid w:val="004902E5"/>
    <w:rsid w:val="0049042B"/>
    <w:rsid w:val="00490FEB"/>
    <w:rsid w:val="00491089"/>
    <w:rsid w:val="0049156F"/>
    <w:rsid w:val="00491869"/>
    <w:rsid w:val="00491876"/>
    <w:rsid w:val="004919C6"/>
    <w:rsid w:val="00491A0A"/>
    <w:rsid w:val="004925D1"/>
    <w:rsid w:val="004927BA"/>
    <w:rsid w:val="00492AFA"/>
    <w:rsid w:val="00492C2A"/>
    <w:rsid w:val="00492F63"/>
    <w:rsid w:val="0049316F"/>
    <w:rsid w:val="00493399"/>
    <w:rsid w:val="004934D5"/>
    <w:rsid w:val="004936AF"/>
    <w:rsid w:val="004938E3"/>
    <w:rsid w:val="00493AF6"/>
    <w:rsid w:val="00494061"/>
    <w:rsid w:val="004944D9"/>
    <w:rsid w:val="0049493E"/>
    <w:rsid w:val="00494EBD"/>
    <w:rsid w:val="00495058"/>
    <w:rsid w:val="00495623"/>
    <w:rsid w:val="00495B3E"/>
    <w:rsid w:val="00495BB3"/>
    <w:rsid w:val="004960BB"/>
    <w:rsid w:val="00496135"/>
    <w:rsid w:val="00496798"/>
    <w:rsid w:val="00497112"/>
    <w:rsid w:val="0049747B"/>
    <w:rsid w:val="004974C5"/>
    <w:rsid w:val="004975F9"/>
    <w:rsid w:val="00497955"/>
    <w:rsid w:val="004A06B2"/>
    <w:rsid w:val="004A0FA1"/>
    <w:rsid w:val="004A1307"/>
    <w:rsid w:val="004A149A"/>
    <w:rsid w:val="004A1978"/>
    <w:rsid w:val="004A1DEE"/>
    <w:rsid w:val="004A1E6F"/>
    <w:rsid w:val="004A1F34"/>
    <w:rsid w:val="004A21B6"/>
    <w:rsid w:val="004A26F4"/>
    <w:rsid w:val="004A2CEA"/>
    <w:rsid w:val="004A2E9D"/>
    <w:rsid w:val="004A3370"/>
    <w:rsid w:val="004A3983"/>
    <w:rsid w:val="004A39CB"/>
    <w:rsid w:val="004A3E90"/>
    <w:rsid w:val="004A488A"/>
    <w:rsid w:val="004A49CC"/>
    <w:rsid w:val="004A4AC7"/>
    <w:rsid w:val="004A53B2"/>
    <w:rsid w:val="004A53B5"/>
    <w:rsid w:val="004A56B4"/>
    <w:rsid w:val="004A5DA1"/>
    <w:rsid w:val="004A5DE0"/>
    <w:rsid w:val="004A5F64"/>
    <w:rsid w:val="004A692D"/>
    <w:rsid w:val="004A6A36"/>
    <w:rsid w:val="004A6C33"/>
    <w:rsid w:val="004A7149"/>
    <w:rsid w:val="004A7224"/>
    <w:rsid w:val="004A72A7"/>
    <w:rsid w:val="004A7326"/>
    <w:rsid w:val="004A73EC"/>
    <w:rsid w:val="004A7EF9"/>
    <w:rsid w:val="004B00BA"/>
    <w:rsid w:val="004B0803"/>
    <w:rsid w:val="004B085C"/>
    <w:rsid w:val="004B0A76"/>
    <w:rsid w:val="004B1320"/>
    <w:rsid w:val="004B1339"/>
    <w:rsid w:val="004B1B9B"/>
    <w:rsid w:val="004B2381"/>
    <w:rsid w:val="004B2BA7"/>
    <w:rsid w:val="004B2C7D"/>
    <w:rsid w:val="004B2F2F"/>
    <w:rsid w:val="004B3424"/>
    <w:rsid w:val="004B36AD"/>
    <w:rsid w:val="004B36F9"/>
    <w:rsid w:val="004B4336"/>
    <w:rsid w:val="004B4685"/>
    <w:rsid w:val="004B487C"/>
    <w:rsid w:val="004B4A78"/>
    <w:rsid w:val="004B4C63"/>
    <w:rsid w:val="004B515A"/>
    <w:rsid w:val="004B5551"/>
    <w:rsid w:val="004B63EC"/>
    <w:rsid w:val="004B678A"/>
    <w:rsid w:val="004B6913"/>
    <w:rsid w:val="004B6B4B"/>
    <w:rsid w:val="004B6BE1"/>
    <w:rsid w:val="004B6CA2"/>
    <w:rsid w:val="004B707D"/>
    <w:rsid w:val="004B72D1"/>
    <w:rsid w:val="004B7336"/>
    <w:rsid w:val="004B7BEE"/>
    <w:rsid w:val="004B7CDC"/>
    <w:rsid w:val="004C00A0"/>
    <w:rsid w:val="004C011F"/>
    <w:rsid w:val="004C014A"/>
    <w:rsid w:val="004C0340"/>
    <w:rsid w:val="004C0867"/>
    <w:rsid w:val="004C1166"/>
    <w:rsid w:val="004C17A7"/>
    <w:rsid w:val="004C2230"/>
    <w:rsid w:val="004C2490"/>
    <w:rsid w:val="004C2B81"/>
    <w:rsid w:val="004C2DEB"/>
    <w:rsid w:val="004C3157"/>
    <w:rsid w:val="004C3188"/>
    <w:rsid w:val="004C3488"/>
    <w:rsid w:val="004C3A1F"/>
    <w:rsid w:val="004C3A44"/>
    <w:rsid w:val="004C3D34"/>
    <w:rsid w:val="004C3F0F"/>
    <w:rsid w:val="004C4186"/>
    <w:rsid w:val="004C4544"/>
    <w:rsid w:val="004C545B"/>
    <w:rsid w:val="004C5755"/>
    <w:rsid w:val="004C57F7"/>
    <w:rsid w:val="004C5C17"/>
    <w:rsid w:val="004C601E"/>
    <w:rsid w:val="004C63D6"/>
    <w:rsid w:val="004C6A7A"/>
    <w:rsid w:val="004C6D3D"/>
    <w:rsid w:val="004C6F14"/>
    <w:rsid w:val="004C700A"/>
    <w:rsid w:val="004C70B7"/>
    <w:rsid w:val="004C70EC"/>
    <w:rsid w:val="004C7587"/>
    <w:rsid w:val="004C779A"/>
    <w:rsid w:val="004D0201"/>
    <w:rsid w:val="004D058F"/>
    <w:rsid w:val="004D0AEF"/>
    <w:rsid w:val="004D0B48"/>
    <w:rsid w:val="004D0F94"/>
    <w:rsid w:val="004D1028"/>
    <w:rsid w:val="004D102B"/>
    <w:rsid w:val="004D139E"/>
    <w:rsid w:val="004D1555"/>
    <w:rsid w:val="004D1A36"/>
    <w:rsid w:val="004D1F39"/>
    <w:rsid w:val="004D2009"/>
    <w:rsid w:val="004D2654"/>
    <w:rsid w:val="004D29E5"/>
    <w:rsid w:val="004D2B85"/>
    <w:rsid w:val="004D2D9E"/>
    <w:rsid w:val="004D3377"/>
    <w:rsid w:val="004D341C"/>
    <w:rsid w:val="004D38EA"/>
    <w:rsid w:val="004D3A6C"/>
    <w:rsid w:val="004D4187"/>
    <w:rsid w:val="004D422A"/>
    <w:rsid w:val="004D4397"/>
    <w:rsid w:val="004D4A22"/>
    <w:rsid w:val="004D4A4F"/>
    <w:rsid w:val="004D4A9F"/>
    <w:rsid w:val="004D507B"/>
    <w:rsid w:val="004D521E"/>
    <w:rsid w:val="004D53BD"/>
    <w:rsid w:val="004D53D1"/>
    <w:rsid w:val="004D54C5"/>
    <w:rsid w:val="004D577A"/>
    <w:rsid w:val="004D593B"/>
    <w:rsid w:val="004D5AA9"/>
    <w:rsid w:val="004D65F0"/>
    <w:rsid w:val="004D6A20"/>
    <w:rsid w:val="004D6BC9"/>
    <w:rsid w:val="004D6C31"/>
    <w:rsid w:val="004D7995"/>
    <w:rsid w:val="004D79E7"/>
    <w:rsid w:val="004D7C28"/>
    <w:rsid w:val="004D7DFC"/>
    <w:rsid w:val="004E0180"/>
    <w:rsid w:val="004E0874"/>
    <w:rsid w:val="004E0A7C"/>
    <w:rsid w:val="004E0DED"/>
    <w:rsid w:val="004E0EC8"/>
    <w:rsid w:val="004E17E8"/>
    <w:rsid w:val="004E1A14"/>
    <w:rsid w:val="004E1A94"/>
    <w:rsid w:val="004E1AB9"/>
    <w:rsid w:val="004E1C07"/>
    <w:rsid w:val="004E1DBB"/>
    <w:rsid w:val="004E1F15"/>
    <w:rsid w:val="004E2219"/>
    <w:rsid w:val="004E23BB"/>
    <w:rsid w:val="004E2505"/>
    <w:rsid w:val="004E25A5"/>
    <w:rsid w:val="004E26D7"/>
    <w:rsid w:val="004E287A"/>
    <w:rsid w:val="004E2F44"/>
    <w:rsid w:val="004E3138"/>
    <w:rsid w:val="004E3836"/>
    <w:rsid w:val="004E3AD7"/>
    <w:rsid w:val="004E3F3D"/>
    <w:rsid w:val="004E4744"/>
    <w:rsid w:val="004E4BE6"/>
    <w:rsid w:val="004E4C9B"/>
    <w:rsid w:val="004E4FCA"/>
    <w:rsid w:val="004E54F1"/>
    <w:rsid w:val="004E5621"/>
    <w:rsid w:val="004E562C"/>
    <w:rsid w:val="004E56A0"/>
    <w:rsid w:val="004E56AB"/>
    <w:rsid w:val="004E5879"/>
    <w:rsid w:val="004E5B62"/>
    <w:rsid w:val="004E609A"/>
    <w:rsid w:val="004E6468"/>
    <w:rsid w:val="004E6716"/>
    <w:rsid w:val="004E6839"/>
    <w:rsid w:val="004E68A8"/>
    <w:rsid w:val="004E6AAC"/>
    <w:rsid w:val="004E6DA9"/>
    <w:rsid w:val="004E6DE8"/>
    <w:rsid w:val="004E6FF7"/>
    <w:rsid w:val="004E7092"/>
    <w:rsid w:val="004E737A"/>
    <w:rsid w:val="004E75BE"/>
    <w:rsid w:val="004E7D12"/>
    <w:rsid w:val="004E7EEE"/>
    <w:rsid w:val="004E7FE1"/>
    <w:rsid w:val="004F009F"/>
    <w:rsid w:val="004F03DE"/>
    <w:rsid w:val="004F098A"/>
    <w:rsid w:val="004F0C83"/>
    <w:rsid w:val="004F0CD2"/>
    <w:rsid w:val="004F0CF9"/>
    <w:rsid w:val="004F114E"/>
    <w:rsid w:val="004F1268"/>
    <w:rsid w:val="004F1376"/>
    <w:rsid w:val="004F13E7"/>
    <w:rsid w:val="004F16B5"/>
    <w:rsid w:val="004F1A57"/>
    <w:rsid w:val="004F1D95"/>
    <w:rsid w:val="004F2061"/>
    <w:rsid w:val="004F2126"/>
    <w:rsid w:val="004F2130"/>
    <w:rsid w:val="004F2C2D"/>
    <w:rsid w:val="004F2C79"/>
    <w:rsid w:val="004F2EDA"/>
    <w:rsid w:val="004F31DB"/>
    <w:rsid w:val="004F32CC"/>
    <w:rsid w:val="004F333C"/>
    <w:rsid w:val="004F37CA"/>
    <w:rsid w:val="004F3893"/>
    <w:rsid w:val="004F3B07"/>
    <w:rsid w:val="004F483A"/>
    <w:rsid w:val="004F4A6C"/>
    <w:rsid w:val="004F4B20"/>
    <w:rsid w:val="004F52C7"/>
    <w:rsid w:val="004F5749"/>
    <w:rsid w:val="004F5F3B"/>
    <w:rsid w:val="004F5FB2"/>
    <w:rsid w:val="004F6990"/>
    <w:rsid w:val="004F6C40"/>
    <w:rsid w:val="004F6D93"/>
    <w:rsid w:val="004F707C"/>
    <w:rsid w:val="004F7097"/>
    <w:rsid w:val="004F7180"/>
    <w:rsid w:val="004F74D6"/>
    <w:rsid w:val="004F75C5"/>
    <w:rsid w:val="005003AD"/>
    <w:rsid w:val="00500463"/>
    <w:rsid w:val="0050064B"/>
    <w:rsid w:val="00500B03"/>
    <w:rsid w:val="00500B09"/>
    <w:rsid w:val="00500D01"/>
    <w:rsid w:val="00500F69"/>
    <w:rsid w:val="00500FE4"/>
    <w:rsid w:val="00501599"/>
    <w:rsid w:val="00501652"/>
    <w:rsid w:val="005016CF"/>
    <w:rsid w:val="00501794"/>
    <w:rsid w:val="005018C3"/>
    <w:rsid w:val="0050198E"/>
    <w:rsid w:val="00501C46"/>
    <w:rsid w:val="00502275"/>
    <w:rsid w:val="0050238C"/>
    <w:rsid w:val="00502858"/>
    <w:rsid w:val="00502E35"/>
    <w:rsid w:val="00503030"/>
    <w:rsid w:val="005034BD"/>
    <w:rsid w:val="00503558"/>
    <w:rsid w:val="00503633"/>
    <w:rsid w:val="0050381A"/>
    <w:rsid w:val="005038A0"/>
    <w:rsid w:val="0050405C"/>
    <w:rsid w:val="005040F1"/>
    <w:rsid w:val="0050416E"/>
    <w:rsid w:val="0050546B"/>
    <w:rsid w:val="005057CE"/>
    <w:rsid w:val="00505968"/>
    <w:rsid w:val="00505EF8"/>
    <w:rsid w:val="0050611C"/>
    <w:rsid w:val="005062B2"/>
    <w:rsid w:val="0050639D"/>
    <w:rsid w:val="00506529"/>
    <w:rsid w:val="00506926"/>
    <w:rsid w:val="00506BCB"/>
    <w:rsid w:val="0050707F"/>
    <w:rsid w:val="00507765"/>
    <w:rsid w:val="0050777F"/>
    <w:rsid w:val="00507892"/>
    <w:rsid w:val="00510245"/>
    <w:rsid w:val="005109F4"/>
    <w:rsid w:val="00510A02"/>
    <w:rsid w:val="00510A1A"/>
    <w:rsid w:val="00510C35"/>
    <w:rsid w:val="00510D40"/>
    <w:rsid w:val="00510D5C"/>
    <w:rsid w:val="00510DC2"/>
    <w:rsid w:val="00510F3F"/>
    <w:rsid w:val="00510FDB"/>
    <w:rsid w:val="00511026"/>
    <w:rsid w:val="0051156D"/>
    <w:rsid w:val="00511845"/>
    <w:rsid w:val="00511991"/>
    <w:rsid w:val="00511DA0"/>
    <w:rsid w:val="00511EDE"/>
    <w:rsid w:val="0051235E"/>
    <w:rsid w:val="0051274B"/>
    <w:rsid w:val="005127C9"/>
    <w:rsid w:val="00512802"/>
    <w:rsid w:val="00512808"/>
    <w:rsid w:val="00512AF6"/>
    <w:rsid w:val="00512C25"/>
    <w:rsid w:val="005132EC"/>
    <w:rsid w:val="005134DE"/>
    <w:rsid w:val="00513831"/>
    <w:rsid w:val="00513BA3"/>
    <w:rsid w:val="00513DF3"/>
    <w:rsid w:val="00513E70"/>
    <w:rsid w:val="00514043"/>
    <w:rsid w:val="005142E2"/>
    <w:rsid w:val="00514403"/>
    <w:rsid w:val="00514667"/>
    <w:rsid w:val="005146DF"/>
    <w:rsid w:val="005149B7"/>
    <w:rsid w:val="00514D72"/>
    <w:rsid w:val="00514F96"/>
    <w:rsid w:val="005150F3"/>
    <w:rsid w:val="00515810"/>
    <w:rsid w:val="00516231"/>
    <w:rsid w:val="0051623F"/>
    <w:rsid w:val="0051664F"/>
    <w:rsid w:val="00516723"/>
    <w:rsid w:val="00516D51"/>
    <w:rsid w:val="00517215"/>
    <w:rsid w:val="00517394"/>
    <w:rsid w:val="0051766C"/>
    <w:rsid w:val="00517C35"/>
    <w:rsid w:val="005202BC"/>
    <w:rsid w:val="005205B0"/>
    <w:rsid w:val="005207DE"/>
    <w:rsid w:val="00520B11"/>
    <w:rsid w:val="00520B18"/>
    <w:rsid w:val="00520DB1"/>
    <w:rsid w:val="00521150"/>
    <w:rsid w:val="0052117F"/>
    <w:rsid w:val="00521551"/>
    <w:rsid w:val="00521AE7"/>
    <w:rsid w:val="00521D27"/>
    <w:rsid w:val="00522351"/>
    <w:rsid w:val="00522638"/>
    <w:rsid w:val="0052269F"/>
    <w:rsid w:val="00522814"/>
    <w:rsid w:val="00522DD2"/>
    <w:rsid w:val="00522F17"/>
    <w:rsid w:val="005234BE"/>
    <w:rsid w:val="00523791"/>
    <w:rsid w:val="00523829"/>
    <w:rsid w:val="0052391B"/>
    <w:rsid w:val="00523A6A"/>
    <w:rsid w:val="00523AF2"/>
    <w:rsid w:val="00523EA5"/>
    <w:rsid w:val="00523FC6"/>
    <w:rsid w:val="005245BC"/>
    <w:rsid w:val="00524ACB"/>
    <w:rsid w:val="00524DCD"/>
    <w:rsid w:val="0052549D"/>
    <w:rsid w:val="00525738"/>
    <w:rsid w:val="0052586D"/>
    <w:rsid w:val="00525FF9"/>
    <w:rsid w:val="00526032"/>
    <w:rsid w:val="0052638A"/>
    <w:rsid w:val="00526631"/>
    <w:rsid w:val="00526859"/>
    <w:rsid w:val="00526BCD"/>
    <w:rsid w:val="005275FA"/>
    <w:rsid w:val="005276EF"/>
    <w:rsid w:val="00527961"/>
    <w:rsid w:val="00527AE5"/>
    <w:rsid w:val="00527D38"/>
    <w:rsid w:val="00527F61"/>
    <w:rsid w:val="005300A3"/>
    <w:rsid w:val="00530712"/>
    <w:rsid w:val="00530D16"/>
    <w:rsid w:val="005310A0"/>
    <w:rsid w:val="005311A3"/>
    <w:rsid w:val="005317FB"/>
    <w:rsid w:val="00532174"/>
    <w:rsid w:val="00532A53"/>
    <w:rsid w:val="00533997"/>
    <w:rsid w:val="00533AC1"/>
    <w:rsid w:val="00533DA4"/>
    <w:rsid w:val="00533DE1"/>
    <w:rsid w:val="00533EB3"/>
    <w:rsid w:val="005340D6"/>
    <w:rsid w:val="0053444C"/>
    <w:rsid w:val="005346A1"/>
    <w:rsid w:val="005349D8"/>
    <w:rsid w:val="005349FD"/>
    <w:rsid w:val="00535076"/>
    <w:rsid w:val="005350CD"/>
    <w:rsid w:val="00535100"/>
    <w:rsid w:val="00535141"/>
    <w:rsid w:val="0053562F"/>
    <w:rsid w:val="0053569E"/>
    <w:rsid w:val="005357BF"/>
    <w:rsid w:val="00535C74"/>
    <w:rsid w:val="00535DEF"/>
    <w:rsid w:val="00535FFA"/>
    <w:rsid w:val="00536308"/>
    <w:rsid w:val="00536EFA"/>
    <w:rsid w:val="00537441"/>
    <w:rsid w:val="00537D3D"/>
    <w:rsid w:val="00537DA3"/>
    <w:rsid w:val="00537FF9"/>
    <w:rsid w:val="00540171"/>
    <w:rsid w:val="0054019B"/>
    <w:rsid w:val="00540436"/>
    <w:rsid w:val="0054074A"/>
    <w:rsid w:val="005408B3"/>
    <w:rsid w:val="00540954"/>
    <w:rsid w:val="00540F7D"/>
    <w:rsid w:val="005410B4"/>
    <w:rsid w:val="00541180"/>
    <w:rsid w:val="005414FD"/>
    <w:rsid w:val="005417E4"/>
    <w:rsid w:val="00541A2A"/>
    <w:rsid w:val="00541CC9"/>
    <w:rsid w:val="00541DF9"/>
    <w:rsid w:val="00542194"/>
    <w:rsid w:val="005421A1"/>
    <w:rsid w:val="00542249"/>
    <w:rsid w:val="0054228D"/>
    <w:rsid w:val="005423DB"/>
    <w:rsid w:val="00542634"/>
    <w:rsid w:val="00542867"/>
    <w:rsid w:val="00542884"/>
    <w:rsid w:val="00542991"/>
    <w:rsid w:val="00543087"/>
    <w:rsid w:val="0054310C"/>
    <w:rsid w:val="005431AC"/>
    <w:rsid w:val="005435E4"/>
    <w:rsid w:val="00543A0F"/>
    <w:rsid w:val="005440EE"/>
    <w:rsid w:val="00544420"/>
    <w:rsid w:val="005446C6"/>
    <w:rsid w:val="005446EE"/>
    <w:rsid w:val="005449F3"/>
    <w:rsid w:val="00544E3E"/>
    <w:rsid w:val="00545177"/>
    <w:rsid w:val="005456DC"/>
    <w:rsid w:val="005457BA"/>
    <w:rsid w:val="00546233"/>
    <w:rsid w:val="00546452"/>
    <w:rsid w:val="00546BC3"/>
    <w:rsid w:val="00547106"/>
    <w:rsid w:val="0054710D"/>
    <w:rsid w:val="00547C5A"/>
    <w:rsid w:val="00547D95"/>
    <w:rsid w:val="0055016C"/>
    <w:rsid w:val="0055016E"/>
    <w:rsid w:val="005501FE"/>
    <w:rsid w:val="005507F7"/>
    <w:rsid w:val="00550AAF"/>
    <w:rsid w:val="00550AEC"/>
    <w:rsid w:val="00550FFE"/>
    <w:rsid w:val="00551B64"/>
    <w:rsid w:val="00551CBE"/>
    <w:rsid w:val="00552098"/>
    <w:rsid w:val="005523A3"/>
    <w:rsid w:val="00552502"/>
    <w:rsid w:val="00552CE1"/>
    <w:rsid w:val="0055334F"/>
    <w:rsid w:val="0055352F"/>
    <w:rsid w:val="0055360D"/>
    <w:rsid w:val="00553770"/>
    <w:rsid w:val="005537F6"/>
    <w:rsid w:val="0055389C"/>
    <w:rsid w:val="00553C6C"/>
    <w:rsid w:val="00553E88"/>
    <w:rsid w:val="00553FEF"/>
    <w:rsid w:val="00554020"/>
    <w:rsid w:val="00554029"/>
    <w:rsid w:val="00554520"/>
    <w:rsid w:val="00554678"/>
    <w:rsid w:val="00554CD8"/>
    <w:rsid w:val="00554CF0"/>
    <w:rsid w:val="00555487"/>
    <w:rsid w:val="0055581F"/>
    <w:rsid w:val="005558ED"/>
    <w:rsid w:val="00555B78"/>
    <w:rsid w:val="00555D03"/>
    <w:rsid w:val="005561D3"/>
    <w:rsid w:val="0055657C"/>
    <w:rsid w:val="00556FC9"/>
    <w:rsid w:val="0055733B"/>
    <w:rsid w:val="005577B1"/>
    <w:rsid w:val="0055788F"/>
    <w:rsid w:val="00557A03"/>
    <w:rsid w:val="00557C81"/>
    <w:rsid w:val="005600FD"/>
    <w:rsid w:val="00560385"/>
    <w:rsid w:val="005606FE"/>
    <w:rsid w:val="00560734"/>
    <w:rsid w:val="00560AF2"/>
    <w:rsid w:val="00560D3A"/>
    <w:rsid w:val="00560EF5"/>
    <w:rsid w:val="00561064"/>
    <w:rsid w:val="00561086"/>
    <w:rsid w:val="00561747"/>
    <w:rsid w:val="0056185C"/>
    <w:rsid w:val="0056199F"/>
    <w:rsid w:val="00561E39"/>
    <w:rsid w:val="005627FD"/>
    <w:rsid w:val="005628CF"/>
    <w:rsid w:val="00562B0F"/>
    <w:rsid w:val="00562B6E"/>
    <w:rsid w:val="00562DE0"/>
    <w:rsid w:val="00562E42"/>
    <w:rsid w:val="005631DD"/>
    <w:rsid w:val="00563216"/>
    <w:rsid w:val="00563614"/>
    <w:rsid w:val="005636FE"/>
    <w:rsid w:val="005638A9"/>
    <w:rsid w:val="00563B77"/>
    <w:rsid w:val="00563BB8"/>
    <w:rsid w:val="00563D42"/>
    <w:rsid w:val="00564394"/>
    <w:rsid w:val="005646B0"/>
    <w:rsid w:val="005647C3"/>
    <w:rsid w:val="00564982"/>
    <w:rsid w:val="00564FF7"/>
    <w:rsid w:val="005650CC"/>
    <w:rsid w:val="00565544"/>
    <w:rsid w:val="00565DC7"/>
    <w:rsid w:val="005660D5"/>
    <w:rsid w:val="00566785"/>
    <w:rsid w:val="005667DE"/>
    <w:rsid w:val="00566A5C"/>
    <w:rsid w:val="00566DD6"/>
    <w:rsid w:val="00566E78"/>
    <w:rsid w:val="00566EA6"/>
    <w:rsid w:val="0056757D"/>
    <w:rsid w:val="005675DE"/>
    <w:rsid w:val="005676A1"/>
    <w:rsid w:val="00567714"/>
    <w:rsid w:val="0056781F"/>
    <w:rsid w:val="00567A7E"/>
    <w:rsid w:val="00567AA1"/>
    <w:rsid w:val="00567E0E"/>
    <w:rsid w:val="00567F95"/>
    <w:rsid w:val="005700EA"/>
    <w:rsid w:val="00570261"/>
    <w:rsid w:val="00570C33"/>
    <w:rsid w:val="00570DA5"/>
    <w:rsid w:val="005713C0"/>
    <w:rsid w:val="00571784"/>
    <w:rsid w:val="00571B1B"/>
    <w:rsid w:val="00571E0D"/>
    <w:rsid w:val="00572091"/>
    <w:rsid w:val="005722CE"/>
    <w:rsid w:val="005726F2"/>
    <w:rsid w:val="00572AE9"/>
    <w:rsid w:val="005730AF"/>
    <w:rsid w:val="00573182"/>
    <w:rsid w:val="00573251"/>
    <w:rsid w:val="00573754"/>
    <w:rsid w:val="00573A9D"/>
    <w:rsid w:val="00573E29"/>
    <w:rsid w:val="00573EDC"/>
    <w:rsid w:val="00573F8F"/>
    <w:rsid w:val="00573FF8"/>
    <w:rsid w:val="0057406D"/>
    <w:rsid w:val="0057425B"/>
    <w:rsid w:val="005744B4"/>
    <w:rsid w:val="0057459E"/>
    <w:rsid w:val="0057473C"/>
    <w:rsid w:val="00574754"/>
    <w:rsid w:val="00574821"/>
    <w:rsid w:val="005753FD"/>
    <w:rsid w:val="005757C7"/>
    <w:rsid w:val="00575A90"/>
    <w:rsid w:val="00575B1F"/>
    <w:rsid w:val="0057650F"/>
    <w:rsid w:val="00576796"/>
    <w:rsid w:val="00576B8E"/>
    <w:rsid w:val="00576D91"/>
    <w:rsid w:val="00576FAC"/>
    <w:rsid w:val="0057715E"/>
    <w:rsid w:val="0057738A"/>
    <w:rsid w:val="00577391"/>
    <w:rsid w:val="0057754C"/>
    <w:rsid w:val="005777EA"/>
    <w:rsid w:val="00577EB2"/>
    <w:rsid w:val="00577F29"/>
    <w:rsid w:val="00580061"/>
    <w:rsid w:val="005800EB"/>
    <w:rsid w:val="0058017F"/>
    <w:rsid w:val="00580BE8"/>
    <w:rsid w:val="00580D97"/>
    <w:rsid w:val="00580DB8"/>
    <w:rsid w:val="00580F01"/>
    <w:rsid w:val="005810B0"/>
    <w:rsid w:val="005810DD"/>
    <w:rsid w:val="00581147"/>
    <w:rsid w:val="00581534"/>
    <w:rsid w:val="0058155D"/>
    <w:rsid w:val="005815B3"/>
    <w:rsid w:val="0058168A"/>
    <w:rsid w:val="005818D5"/>
    <w:rsid w:val="00581CB3"/>
    <w:rsid w:val="005821D0"/>
    <w:rsid w:val="005822B5"/>
    <w:rsid w:val="005823B1"/>
    <w:rsid w:val="005823F6"/>
    <w:rsid w:val="0058242D"/>
    <w:rsid w:val="00583024"/>
    <w:rsid w:val="00583232"/>
    <w:rsid w:val="00583EF4"/>
    <w:rsid w:val="00583FFE"/>
    <w:rsid w:val="00584249"/>
    <w:rsid w:val="005845FD"/>
    <w:rsid w:val="005847D3"/>
    <w:rsid w:val="00584D36"/>
    <w:rsid w:val="00584DEC"/>
    <w:rsid w:val="00584E36"/>
    <w:rsid w:val="00584E9F"/>
    <w:rsid w:val="00584F96"/>
    <w:rsid w:val="00585099"/>
    <w:rsid w:val="0058552D"/>
    <w:rsid w:val="00585612"/>
    <w:rsid w:val="005856CD"/>
    <w:rsid w:val="005858D5"/>
    <w:rsid w:val="00585CCA"/>
    <w:rsid w:val="005860C7"/>
    <w:rsid w:val="00586798"/>
    <w:rsid w:val="00586D7C"/>
    <w:rsid w:val="00586DB1"/>
    <w:rsid w:val="00586E1D"/>
    <w:rsid w:val="0058764C"/>
    <w:rsid w:val="00587CA2"/>
    <w:rsid w:val="00587DF9"/>
    <w:rsid w:val="00587F4A"/>
    <w:rsid w:val="00590199"/>
    <w:rsid w:val="00590512"/>
    <w:rsid w:val="00590920"/>
    <w:rsid w:val="00590934"/>
    <w:rsid w:val="00590A7D"/>
    <w:rsid w:val="00590E17"/>
    <w:rsid w:val="005912B8"/>
    <w:rsid w:val="00591421"/>
    <w:rsid w:val="005914E8"/>
    <w:rsid w:val="00591615"/>
    <w:rsid w:val="00591808"/>
    <w:rsid w:val="0059187F"/>
    <w:rsid w:val="00591A17"/>
    <w:rsid w:val="0059226B"/>
    <w:rsid w:val="00592902"/>
    <w:rsid w:val="00592921"/>
    <w:rsid w:val="00592AB0"/>
    <w:rsid w:val="00592B26"/>
    <w:rsid w:val="00592EB5"/>
    <w:rsid w:val="005931EC"/>
    <w:rsid w:val="005931FC"/>
    <w:rsid w:val="00593243"/>
    <w:rsid w:val="005932BA"/>
    <w:rsid w:val="005934CA"/>
    <w:rsid w:val="0059356A"/>
    <w:rsid w:val="005938A7"/>
    <w:rsid w:val="00593B13"/>
    <w:rsid w:val="00593C21"/>
    <w:rsid w:val="0059415E"/>
    <w:rsid w:val="005941B5"/>
    <w:rsid w:val="0059426D"/>
    <w:rsid w:val="005942E1"/>
    <w:rsid w:val="00594ADE"/>
    <w:rsid w:val="00594B6C"/>
    <w:rsid w:val="00594BA8"/>
    <w:rsid w:val="00595087"/>
    <w:rsid w:val="00595A64"/>
    <w:rsid w:val="00595BA3"/>
    <w:rsid w:val="00595F0B"/>
    <w:rsid w:val="0059653F"/>
    <w:rsid w:val="00596980"/>
    <w:rsid w:val="005972AC"/>
    <w:rsid w:val="005977E3"/>
    <w:rsid w:val="00597A99"/>
    <w:rsid w:val="00597B1E"/>
    <w:rsid w:val="005A0038"/>
    <w:rsid w:val="005A0066"/>
    <w:rsid w:val="005A030C"/>
    <w:rsid w:val="005A050A"/>
    <w:rsid w:val="005A0532"/>
    <w:rsid w:val="005A054C"/>
    <w:rsid w:val="005A058B"/>
    <w:rsid w:val="005A06FF"/>
    <w:rsid w:val="005A078D"/>
    <w:rsid w:val="005A0A14"/>
    <w:rsid w:val="005A0BDD"/>
    <w:rsid w:val="005A0EE7"/>
    <w:rsid w:val="005A12CD"/>
    <w:rsid w:val="005A1411"/>
    <w:rsid w:val="005A1807"/>
    <w:rsid w:val="005A1B32"/>
    <w:rsid w:val="005A1F50"/>
    <w:rsid w:val="005A2013"/>
    <w:rsid w:val="005A20A9"/>
    <w:rsid w:val="005A2389"/>
    <w:rsid w:val="005A26F6"/>
    <w:rsid w:val="005A2C21"/>
    <w:rsid w:val="005A2C38"/>
    <w:rsid w:val="005A2E76"/>
    <w:rsid w:val="005A334B"/>
    <w:rsid w:val="005A389C"/>
    <w:rsid w:val="005A3E08"/>
    <w:rsid w:val="005A3EC2"/>
    <w:rsid w:val="005A3F8B"/>
    <w:rsid w:val="005A40B3"/>
    <w:rsid w:val="005A412B"/>
    <w:rsid w:val="005A419D"/>
    <w:rsid w:val="005A4211"/>
    <w:rsid w:val="005A4394"/>
    <w:rsid w:val="005A455C"/>
    <w:rsid w:val="005A46F2"/>
    <w:rsid w:val="005A4CF5"/>
    <w:rsid w:val="005A4DAC"/>
    <w:rsid w:val="005A559C"/>
    <w:rsid w:val="005A5A98"/>
    <w:rsid w:val="005A5CC5"/>
    <w:rsid w:val="005A5CF5"/>
    <w:rsid w:val="005A68C2"/>
    <w:rsid w:val="005A6934"/>
    <w:rsid w:val="005A764B"/>
    <w:rsid w:val="005A7767"/>
    <w:rsid w:val="005A79BA"/>
    <w:rsid w:val="005A7B43"/>
    <w:rsid w:val="005A7BAE"/>
    <w:rsid w:val="005A7ED1"/>
    <w:rsid w:val="005B00D7"/>
    <w:rsid w:val="005B0284"/>
    <w:rsid w:val="005B05DD"/>
    <w:rsid w:val="005B086F"/>
    <w:rsid w:val="005B0A8E"/>
    <w:rsid w:val="005B0C1A"/>
    <w:rsid w:val="005B1214"/>
    <w:rsid w:val="005B139C"/>
    <w:rsid w:val="005B13FD"/>
    <w:rsid w:val="005B195C"/>
    <w:rsid w:val="005B2236"/>
    <w:rsid w:val="005B238C"/>
    <w:rsid w:val="005B24A2"/>
    <w:rsid w:val="005B256B"/>
    <w:rsid w:val="005B2940"/>
    <w:rsid w:val="005B2B77"/>
    <w:rsid w:val="005B2D17"/>
    <w:rsid w:val="005B333D"/>
    <w:rsid w:val="005B3904"/>
    <w:rsid w:val="005B39EC"/>
    <w:rsid w:val="005B3AED"/>
    <w:rsid w:val="005B3CE4"/>
    <w:rsid w:val="005B3DD2"/>
    <w:rsid w:val="005B4562"/>
    <w:rsid w:val="005B471C"/>
    <w:rsid w:val="005B50CE"/>
    <w:rsid w:val="005B5EB8"/>
    <w:rsid w:val="005B5ED1"/>
    <w:rsid w:val="005B5ED4"/>
    <w:rsid w:val="005B5F00"/>
    <w:rsid w:val="005B5FFA"/>
    <w:rsid w:val="005B6659"/>
    <w:rsid w:val="005B6971"/>
    <w:rsid w:val="005B6973"/>
    <w:rsid w:val="005B6DCC"/>
    <w:rsid w:val="005B7913"/>
    <w:rsid w:val="005B7A85"/>
    <w:rsid w:val="005B7A98"/>
    <w:rsid w:val="005B7CDD"/>
    <w:rsid w:val="005C059E"/>
    <w:rsid w:val="005C086B"/>
    <w:rsid w:val="005C099E"/>
    <w:rsid w:val="005C13F1"/>
    <w:rsid w:val="005C1DD1"/>
    <w:rsid w:val="005C2014"/>
    <w:rsid w:val="005C22F3"/>
    <w:rsid w:val="005C2817"/>
    <w:rsid w:val="005C28A2"/>
    <w:rsid w:val="005C30DE"/>
    <w:rsid w:val="005C3434"/>
    <w:rsid w:val="005C380E"/>
    <w:rsid w:val="005C40BA"/>
    <w:rsid w:val="005C433B"/>
    <w:rsid w:val="005C4411"/>
    <w:rsid w:val="005C452E"/>
    <w:rsid w:val="005C4597"/>
    <w:rsid w:val="005C46D4"/>
    <w:rsid w:val="005C4729"/>
    <w:rsid w:val="005C54CD"/>
    <w:rsid w:val="005C5FD9"/>
    <w:rsid w:val="005C64FB"/>
    <w:rsid w:val="005C67B7"/>
    <w:rsid w:val="005C67E2"/>
    <w:rsid w:val="005C68E3"/>
    <w:rsid w:val="005C6C41"/>
    <w:rsid w:val="005C720A"/>
    <w:rsid w:val="005C75E9"/>
    <w:rsid w:val="005C7A54"/>
    <w:rsid w:val="005C7D83"/>
    <w:rsid w:val="005D039B"/>
    <w:rsid w:val="005D067D"/>
    <w:rsid w:val="005D07DC"/>
    <w:rsid w:val="005D0C58"/>
    <w:rsid w:val="005D0F9C"/>
    <w:rsid w:val="005D17A5"/>
    <w:rsid w:val="005D1EA8"/>
    <w:rsid w:val="005D2313"/>
    <w:rsid w:val="005D26E8"/>
    <w:rsid w:val="005D2C62"/>
    <w:rsid w:val="005D2D4B"/>
    <w:rsid w:val="005D3442"/>
    <w:rsid w:val="005D3B07"/>
    <w:rsid w:val="005D3E36"/>
    <w:rsid w:val="005D46A6"/>
    <w:rsid w:val="005D47EA"/>
    <w:rsid w:val="005D4C49"/>
    <w:rsid w:val="005D5008"/>
    <w:rsid w:val="005D5C7D"/>
    <w:rsid w:val="005D610D"/>
    <w:rsid w:val="005D61A9"/>
    <w:rsid w:val="005D6292"/>
    <w:rsid w:val="005D64E2"/>
    <w:rsid w:val="005D77A5"/>
    <w:rsid w:val="005D7DBB"/>
    <w:rsid w:val="005E0194"/>
    <w:rsid w:val="005E0581"/>
    <w:rsid w:val="005E095F"/>
    <w:rsid w:val="005E0B12"/>
    <w:rsid w:val="005E0C1C"/>
    <w:rsid w:val="005E0F84"/>
    <w:rsid w:val="005E132F"/>
    <w:rsid w:val="005E13F5"/>
    <w:rsid w:val="005E1596"/>
    <w:rsid w:val="005E1CC2"/>
    <w:rsid w:val="005E1DD3"/>
    <w:rsid w:val="005E2026"/>
    <w:rsid w:val="005E23BD"/>
    <w:rsid w:val="005E2DAC"/>
    <w:rsid w:val="005E2E92"/>
    <w:rsid w:val="005E30D7"/>
    <w:rsid w:val="005E374A"/>
    <w:rsid w:val="005E3AB5"/>
    <w:rsid w:val="005E3B79"/>
    <w:rsid w:val="005E3BE5"/>
    <w:rsid w:val="005E4902"/>
    <w:rsid w:val="005E50E7"/>
    <w:rsid w:val="005E56E9"/>
    <w:rsid w:val="005E5ED7"/>
    <w:rsid w:val="005E61FB"/>
    <w:rsid w:val="005E6D7F"/>
    <w:rsid w:val="005E6F1D"/>
    <w:rsid w:val="005E7D73"/>
    <w:rsid w:val="005E7FA8"/>
    <w:rsid w:val="005F03A4"/>
    <w:rsid w:val="005F05DF"/>
    <w:rsid w:val="005F08DF"/>
    <w:rsid w:val="005F0E4D"/>
    <w:rsid w:val="005F0E56"/>
    <w:rsid w:val="005F0F04"/>
    <w:rsid w:val="005F10AC"/>
    <w:rsid w:val="005F1457"/>
    <w:rsid w:val="005F21C8"/>
    <w:rsid w:val="005F231B"/>
    <w:rsid w:val="005F2408"/>
    <w:rsid w:val="005F2493"/>
    <w:rsid w:val="005F249F"/>
    <w:rsid w:val="005F24D4"/>
    <w:rsid w:val="005F278D"/>
    <w:rsid w:val="005F2E03"/>
    <w:rsid w:val="005F3185"/>
    <w:rsid w:val="005F32D9"/>
    <w:rsid w:val="005F36B6"/>
    <w:rsid w:val="005F374C"/>
    <w:rsid w:val="005F3CD2"/>
    <w:rsid w:val="005F40DA"/>
    <w:rsid w:val="005F41A4"/>
    <w:rsid w:val="005F42B0"/>
    <w:rsid w:val="005F43B4"/>
    <w:rsid w:val="005F44B8"/>
    <w:rsid w:val="005F50DC"/>
    <w:rsid w:val="005F56F4"/>
    <w:rsid w:val="005F58EA"/>
    <w:rsid w:val="005F5B4B"/>
    <w:rsid w:val="005F5CA6"/>
    <w:rsid w:val="005F5EB1"/>
    <w:rsid w:val="005F5FDD"/>
    <w:rsid w:val="005F661E"/>
    <w:rsid w:val="005F693B"/>
    <w:rsid w:val="005F6A2F"/>
    <w:rsid w:val="005F6A60"/>
    <w:rsid w:val="005F7201"/>
    <w:rsid w:val="005F7297"/>
    <w:rsid w:val="005F737A"/>
    <w:rsid w:val="005F76AD"/>
    <w:rsid w:val="00600030"/>
    <w:rsid w:val="00600639"/>
    <w:rsid w:val="0060090A"/>
    <w:rsid w:val="0060099C"/>
    <w:rsid w:val="0060110E"/>
    <w:rsid w:val="00601712"/>
    <w:rsid w:val="00601779"/>
    <w:rsid w:val="00601A86"/>
    <w:rsid w:val="00601C45"/>
    <w:rsid w:val="00602675"/>
    <w:rsid w:val="00602692"/>
    <w:rsid w:val="00602ABB"/>
    <w:rsid w:val="00603000"/>
    <w:rsid w:val="006031A4"/>
    <w:rsid w:val="006031AD"/>
    <w:rsid w:val="00603512"/>
    <w:rsid w:val="006036E1"/>
    <w:rsid w:val="00603ADC"/>
    <w:rsid w:val="00603E78"/>
    <w:rsid w:val="00603F29"/>
    <w:rsid w:val="0060400C"/>
    <w:rsid w:val="0060416D"/>
    <w:rsid w:val="006042F4"/>
    <w:rsid w:val="0060432E"/>
    <w:rsid w:val="006044DE"/>
    <w:rsid w:val="00604A9B"/>
    <w:rsid w:val="00604C59"/>
    <w:rsid w:val="00604EF0"/>
    <w:rsid w:val="00604FAA"/>
    <w:rsid w:val="006050F8"/>
    <w:rsid w:val="006051FF"/>
    <w:rsid w:val="0060553E"/>
    <w:rsid w:val="00605548"/>
    <w:rsid w:val="00605C35"/>
    <w:rsid w:val="00606268"/>
    <w:rsid w:val="006062E5"/>
    <w:rsid w:val="006065AE"/>
    <w:rsid w:val="00606A73"/>
    <w:rsid w:val="00606BF1"/>
    <w:rsid w:val="00606F90"/>
    <w:rsid w:val="00607155"/>
    <w:rsid w:val="00607853"/>
    <w:rsid w:val="00607989"/>
    <w:rsid w:val="00607A8A"/>
    <w:rsid w:val="00607DBF"/>
    <w:rsid w:val="00607F11"/>
    <w:rsid w:val="00610E0B"/>
    <w:rsid w:val="00611442"/>
    <w:rsid w:val="006117C6"/>
    <w:rsid w:val="006119D4"/>
    <w:rsid w:val="00611C58"/>
    <w:rsid w:val="00611C80"/>
    <w:rsid w:val="00611DE5"/>
    <w:rsid w:val="00611E21"/>
    <w:rsid w:val="006120CB"/>
    <w:rsid w:val="0061211F"/>
    <w:rsid w:val="00612450"/>
    <w:rsid w:val="00612740"/>
    <w:rsid w:val="00612BCB"/>
    <w:rsid w:val="00612D97"/>
    <w:rsid w:val="00612FB1"/>
    <w:rsid w:val="00613533"/>
    <w:rsid w:val="006135AE"/>
    <w:rsid w:val="006135C7"/>
    <w:rsid w:val="00613882"/>
    <w:rsid w:val="00613BA6"/>
    <w:rsid w:val="00613BD7"/>
    <w:rsid w:val="00613DB3"/>
    <w:rsid w:val="00614166"/>
    <w:rsid w:val="00614297"/>
    <w:rsid w:val="00614319"/>
    <w:rsid w:val="00614489"/>
    <w:rsid w:val="00614906"/>
    <w:rsid w:val="00615243"/>
    <w:rsid w:val="006152F4"/>
    <w:rsid w:val="00615449"/>
    <w:rsid w:val="00615626"/>
    <w:rsid w:val="0061585B"/>
    <w:rsid w:val="00615985"/>
    <w:rsid w:val="00615DD0"/>
    <w:rsid w:val="0061632C"/>
    <w:rsid w:val="006164D9"/>
    <w:rsid w:val="006167C9"/>
    <w:rsid w:val="006168DA"/>
    <w:rsid w:val="00616A1A"/>
    <w:rsid w:val="0061715C"/>
    <w:rsid w:val="006171ED"/>
    <w:rsid w:val="0061742B"/>
    <w:rsid w:val="00617589"/>
    <w:rsid w:val="006178F3"/>
    <w:rsid w:val="006179D2"/>
    <w:rsid w:val="0062001E"/>
    <w:rsid w:val="006201AA"/>
    <w:rsid w:val="0062028E"/>
    <w:rsid w:val="006205BD"/>
    <w:rsid w:val="00620632"/>
    <w:rsid w:val="006206EB"/>
    <w:rsid w:val="00620A78"/>
    <w:rsid w:val="00620E6A"/>
    <w:rsid w:val="00620EAB"/>
    <w:rsid w:val="00620EE1"/>
    <w:rsid w:val="006211D8"/>
    <w:rsid w:val="0062165B"/>
    <w:rsid w:val="006218A2"/>
    <w:rsid w:val="00621D2A"/>
    <w:rsid w:val="00621F69"/>
    <w:rsid w:val="006220B1"/>
    <w:rsid w:val="00622193"/>
    <w:rsid w:val="006221C5"/>
    <w:rsid w:val="00622835"/>
    <w:rsid w:val="006229E0"/>
    <w:rsid w:val="00622B6F"/>
    <w:rsid w:val="00622BB0"/>
    <w:rsid w:val="00622BF3"/>
    <w:rsid w:val="00622DED"/>
    <w:rsid w:val="00622E20"/>
    <w:rsid w:val="006234B3"/>
    <w:rsid w:val="00623599"/>
    <w:rsid w:val="00623620"/>
    <w:rsid w:val="00623755"/>
    <w:rsid w:val="00623763"/>
    <w:rsid w:val="00623B27"/>
    <w:rsid w:val="00623F90"/>
    <w:rsid w:val="00624044"/>
    <w:rsid w:val="00624132"/>
    <w:rsid w:val="0062447B"/>
    <w:rsid w:val="0062452A"/>
    <w:rsid w:val="00624A30"/>
    <w:rsid w:val="00624B46"/>
    <w:rsid w:val="0062555B"/>
    <w:rsid w:val="006257F4"/>
    <w:rsid w:val="0062585B"/>
    <w:rsid w:val="00625A61"/>
    <w:rsid w:val="00625BBA"/>
    <w:rsid w:val="00625C0C"/>
    <w:rsid w:val="0062602B"/>
    <w:rsid w:val="00626408"/>
    <w:rsid w:val="00626B4B"/>
    <w:rsid w:val="00627208"/>
    <w:rsid w:val="006274E3"/>
    <w:rsid w:val="006276B8"/>
    <w:rsid w:val="006277DB"/>
    <w:rsid w:val="00627CBD"/>
    <w:rsid w:val="00630421"/>
    <w:rsid w:val="00630BBB"/>
    <w:rsid w:val="00630C47"/>
    <w:rsid w:val="00630EE5"/>
    <w:rsid w:val="00631396"/>
    <w:rsid w:val="00631535"/>
    <w:rsid w:val="00631735"/>
    <w:rsid w:val="00631A85"/>
    <w:rsid w:val="00631D4C"/>
    <w:rsid w:val="006321EE"/>
    <w:rsid w:val="006325FE"/>
    <w:rsid w:val="00632C7F"/>
    <w:rsid w:val="00632E20"/>
    <w:rsid w:val="0063327E"/>
    <w:rsid w:val="0063355F"/>
    <w:rsid w:val="00633562"/>
    <w:rsid w:val="00633806"/>
    <w:rsid w:val="00633861"/>
    <w:rsid w:val="00633E71"/>
    <w:rsid w:val="00634077"/>
    <w:rsid w:val="00634096"/>
    <w:rsid w:val="00634378"/>
    <w:rsid w:val="006343C8"/>
    <w:rsid w:val="006344ED"/>
    <w:rsid w:val="00634B84"/>
    <w:rsid w:val="00634BA5"/>
    <w:rsid w:val="0063512D"/>
    <w:rsid w:val="00635290"/>
    <w:rsid w:val="00635393"/>
    <w:rsid w:val="00635DF7"/>
    <w:rsid w:val="006364DC"/>
    <w:rsid w:val="0063678B"/>
    <w:rsid w:val="00636863"/>
    <w:rsid w:val="00636B32"/>
    <w:rsid w:val="00636BBB"/>
    <w:rsid w:val="00636E2D"/>
    <w:rsid w:val="00636FF3"/>
    <w:rsid w:val="0063713B"/>
    <w:rsid w:val="006377DE"/>
    <w:rsid w:val="00637B61"/>
    <w:rsid w:val="00637E46"/>
    <w:rsid w:val="006403B7"/>
    <w:rsid w:val="00640427"/>
    <w:rsid w:val="00640773"/>
    <w:rsid w:val="006409B8"/>
    <w:rsid w:val="00640EE3"/>
    <w:rsid w:val="0064114C"/>
    <w:rsid w:val="006411FD"/>
    <w:rsid w:val="00641406"/>
    <w:rsid w:val="00641634"/>
    <w:rsid w:val="006416EF"/>
    <w:rsid w:val="00641D56"/>
    <w:rsid w:val="00641ED0"/>
    <w:rsid w:val="006421C7"/>
    <w:rsid w:val="00642269"/>
    <w:rsid w:val="0064261B"/>
    <w:rsid w:val="00642742"/>
    <w:rsid w:val="0064277E"/>
    <w:rsid w:val="006427EF"/>
    <w:rsid w:val="006429B3"/>
    <w:rsid w:val="00642A42"/>
    <w:rsid w:val="00642C95"/>
    <w:rsid w:val="00642EE4"/>
    <w:rsid w:val="00643195"/>
    <w:rsid w:val="00643766"/>
    <w:rsid w:val="00643787"/>
    <w:rsid w:val="006437B5"/>
    <w:rsid w:val="00643DD1"/>
    <w:rsid w:val="00643ECA"/>
    <w:rsid w:val="0064402C"/>
    <w:rsid w:val="006443D2"/>
    <w:rsid w:val="006448E9"/>
    <w:rsid w:val="00644D8D"/>
    <w:rsid w:val="00644F2B"/>
    <w:rsid w:val="006455D1"/>
    <w:rsid w:val="006457E3"/>
    <w:rsid w:val="00645C7E"/>
    <w:rsid w:val="00645CAC"/>
    <w:rsid w:val="00645DBD"/>
    <w:rsid w:val="00645DF9"/>
    <w:rsid w:val="00646191"/>
    <w:rsid w:val="0064619D"/>
    <w:rsid w:val="0064652F"/>
    <w:rsid w:val="00646641"/>
    <w:rsid w:val="0064688D"/>
    <w:rsid w:val="0064697A"/>
    <w:rsid w:val="00646A1C"/>
    <w:rsid w:val="00646F95"/>
    <w:rsid w:val="00647271"/>
    <w:rsid w:val="006472B2"/>
    <w:rsid w:val="006472F0"/>
    <w:rsid w:val="006509BB"/>
    <w:rsid w:val="00650A75"/>
    <w:rsid w:val="00650AC6"/>
    <w:rsid w:val="00650DC3"/>
    <w:rsid w:val="00650DF4"/>
    <w:rsid w:val="00650F9E"/>
    <w:rsid w:val="0065128E"/>
    <w:rsid w:val="006513A0"/>
    <w:rsid w:val="006514F1"/>
    <w:rsid w:val="006516B8"/>
    <w:rsid w:val="00651ABB"/>
    <w:rsid w:val="00651BC1"/>
    <w:rsid w:val="00651CC4"/>
    <w:rsid w:val="00651FDE"/>
    <w:rsid w:val="00652697"/>
    <w:rsid w:val="006528C6"/>
    <w:rsid w:val="00652D76"/>
    <w:rsid w:val="006533D7"/>
    <w:rsid w:val="006535D4"/>
    <w:rsid w:val="0065397F"/>
    <w:rsid w:val="006543C4"/>
    <w:rsid w:val="00655168"/>
    <w:rsid w:val="00655219"/>
    <w:rsid w:val="006556FA"/>
    <w:rsid w:val="00656020"/>
    <w:rsid w:val="0065630F"/>
    <w:rsid w:val="006563AB"/>
    <w:rsid w:val="00656AD9"/>
    <w:rsid w:val="006578D1"/>
    <w:rsid w:val="006605D9"/>
    <w:rsid w:val="006606C8"/>
    <w:rsid w:val="00660756"/>
    <w:rsid w:val="00660A39"/>
    <w:rsid w:val="00660FF5"/>
    <w:rsid w:val="0066102C"/>
    <w:rsid w:val="00661405"/>
    <w:rsid w:val="0066145C"/>
    <w:rsid w:val="0066180E"/>
    <w:rsid w:val="00661EBC"/>
    <w:rsid w:val="00662966"/>
    <w:rsid w:val="0066353C"/>
    <w:rsid w:val="006635D8"/>
    <w:rsid w:val="00663C72"/>
    <w:rsid w:val="00664031"/>
    <w:rsid w:val="0066428C"/>
    <w:rsid w:val="00664475"/>
    <w:rsid w:val="006647D3"/>
    <w:rsid w:val="006648D3"/>
    <w:rsid w:val="00664AEF"/>
    <w:rsid w:val="00664DDA"/>
    <w:rsid w:val="00665028"/>
    <w:rsid w:val="0066507A"/>
    <w:rsid w:val="0066575D"/>
    <w:rsid w:val="00665774"/>
    <w:rsid w:val="0066654B"/>
    <w:rsid w:val="00666696"/>
    <w:rsid w:val="00666951"/>
    <w:rsid w:val="00666953"/>
    <w:rsid w:val="00666D92"/>
    <w:rsid w:val="00666E96"/>
    <w:rsid w:val="00667205"/>
    <w:rsid w:val="006677A7"/>
    <w:rsid w:val="00667856"/>
    <w:rsid w:val="00667BCA"/>
    <w:rsid w:val="0067005E"/>
    <w:rsid w:val="00670839"/>
    <w:rsid w:val="00670AD6"/>
    <w:rsid w:val="00670EEE"/>
    <w:rsid w:val="0067190F"/>
    <w:rsid w:val="00671A9D"/>
    <w:rsid w:val="00671DD5"/>
    <w:rsid w:val="00671E15"/>
    <w:rsid w:val="00672642"/>
    <w:rsid w:val="00672662"/>
    <w:rsid w:val="00672B96"/>
    <w:rsid w:val="00672CB7"/>
    <w:rsid w:val="00672FC6"/>
    <w:rsid w:val="006738B3"/>
    <w:rsid w:val="00673CBD"/>
    <w:rsid w:val="00674728"/>
    <w:rsid w:val="0067490D"/>
    <w:rsid w:val="00674C5C"/>
    <w:rsid w:val="00674C8A"/>
    <w:rsid w:val="00674D4E"/>
    <w:rsid w:val="00674FA6"/>
    <w:rsid w:val="00675259"/>
    <w:rsid w:val="0067548E"/>
    <w:rsid w:val="00675563"/>
    <w:rsid w:val="006759B8"/>
    <w:rsid w:val="00675B2A"/>
    <w:rsid w:val="00675BC9"/>
    <w:rsid w:val="00675FF7"/>
    <w:rsid w:val="00676113"/>
    <w:rsid w:val="00676385"/>
    <w:rsid w:val="00676BFD"/>
    <w:rsid w:val="00676C2E"/>
    <w:rsid w:val="00676D5D"/>
    <w:rsid w:val="006771CE"/>
    <w:rsid w:val="00677288"/>
    <w:rsid w:val="00677445"/>
    <w:rsid w:val="006778A5"/>
    <w:rsid w:val="00677C23"/>
    <w:rsid w:val="00677D1E"/>
    <w:rsid w:val="00680229"/>
    <w:rsid w:val="00680417"/>
    <w:rsid w:val="00680496"/>
    <w:rsid w:val="00681704"/>
    <w:rsid w:val="00681959"/>
    <w:rsid w:val="00681C95"/>
    <w:rsid w:val="00681D64"/>
    <w:rsid w:val="00681E97"/>
    <w:rsid w:val="00681F74"/>
    <w:rsid w:val="00682354"/>
    <w:rsid w:val="00682DF8"/>
    <w:rsid w:val="006830A0"/>
    <w:rsid w:val="00683497"/>
    <w:rsid w:val="0068349A"/>
    <w:rsid w:val="0068377B"/>
    <w:rsid w:val="006837F3"/>
    <w:rsid w:val="00683962"/>
    <w:rsid w:val="00684037"/>
    <w:rsid w:val="006841D0"/>
    <w:rsid w:val="006845D2"/>
    <w:rsid w:val="006847D5"/>
    <w:rsid w:val="00684836"/>
    <w:rsid w:val="00684BF3"/>
    <w:rsid w:val="00684CB2"/>
    <w:rsid w:val="00685701"/>
    <w:rsid w:val="00685BA5"/>
    <w:rsid w:val="00685BAC"/>
    <w:rsid w:val="006862B7"/>
    <w:rsid w:val="006863DD"/>
    <w:rsid w:val="00686567"/>
    <w:rsid w:val="00686881"/>
    <w:rsid w:val="00686C02"/>
    <w:rsid w:val="00686F21"/>
    <w:rsid w:val="00686FFF"/>
    <w:rsid w:val="0068718E"/>
    <w:rsid w:val="006877B5"/>
    <w:rsid w:val="00687F92"/>
    <w:rsid w:val="00690246"/>
    <w:rsid w:val="006902B1"/>
    <w:rsid w:val="00690568"/>
    <w:rsid w:val="00690960"/>
    <w:rsid w:val="00690ADC"/>
    <w:rsid w:val="00691314"/>
    <w:rsid w:val="006916A4"/>
    <w:rsid w:val="006918A4"/>
    <w:rsid w:val="006919D9"/>
    <w:rsid w:val="00691E93"/>
    <w:rsid w:val="00691F26"/>
    <w:rsid w:val="00691FAE"/>
    <w:rsid w:val="00692129"/>
    <w:rsid w:val="006923E9"/>
    <w:rsid w:val="006924C2"/>
    <w:rsid w:val="00692B54"/>
    <w:rsid w:val="00693199"/>
    <w:rsid w:val="006931FB"/>
    <w:rsid w:val="0069338D"/>
    <w:rsid w:val="006936AF"/>
    <w:rsid w:val="00693E25"/>
    <w:rsid w:val="00694095"/>
    <w:rsid w:val="00694277"/>
    <w:rsid w:val="00694437"/>
    <w:rsid w:val="006944B8"/>
    <w:rsid w:val="00694663"/>
    <w:rsid w:val="006948DE"/>
    <w:rsid w:val="00694A8C"/>
    <w:rsid w:val="00694EB7"/>
    <w:rsid w:val="006953D8"/>
    <w:rsid w:val="00695706"/>
    <w:rsid w:val="00695ACF"/>
    <w:rsid w:val="00695AEE"/>
    <w:rsid w:val="00695CED"/>
    <w:rsid w:val="00695EED"/>
    <w:rsid w:val="006962C0"/>
    <w:rsid w:val="00696584"/>
    <w:rsid w:val="00696631"/>
    <w:rsid w:val="00696A1B"/>
    <w:rsid w:val="00696A6E"/>
    <w:rsid w:val="006972BC"/>
    <w:rsid w:val="0069750F"/>
    <w:rsid w:val="00697599"/>
    <w:rsid w:val="006A00A4"/>
    <w:rsid w:val="006A0474"/>
    <w:rsid w:val="006A04BD"/>
    <w:rsid w:val="006A0627"/>
    <w:rsid w:val="006A088A"/>
    <w:rsid w:val="006A0A52"/>
    <w:rsid w:val="006A0FE1"/>
    <w:rsid w:val="006A1086"/>
    <w:rsid w:val="006A114E"/>
    <w:rsid w:val="006A1247"/>
    <w:rsid w:val="006A12BF"/>
    <w:rsid w:val="006A1728"/>
    <w:rsid w:val="006A1763"/>
    <w:rsid w:val="006A1D2A"/>
    <w:rsid w:val="006A1F3E"/>
    <w:rsid w:val="006A2528"/>
    <w:rsid w:val="006A25C7"/>
    <w:rsid w:val="006A273D"/>
    <w:rsid w:val="006A2AF1"/>
    <w:rsid w:val="006A2BC7"/>
    <w:rsid w:val="006A3133"/>
    <w:rsid w:val="006A3474"/>
    <w:rsid w:val="006A35DA"/>
    <w:rsid w:val="006A3615"/>
    <w:rsid w:val="006A3620"/>
    <w:rsid w:val="006A363C"/>
    <w:rsid w:val="006A3800"/>
    <w:rsid w:val="006A3CC5"/>
    <w:rsid w:val="006A3D53"/>
    <w:rsid w:val="006A3F9C"/>
    <w:rsid w:val="006A4008"/>
    <w:rsid w:val="006A478F"/>
    <w:rsid w:val="006A4933"/>
    <w:rsid w:val="006A49E9"/>
    <w:rsid w:val="006A4B5A"/>
    <w:rsid w:val="006A513E"/>
    <w:rsid w:val="006A5A3F"/>
    <w:rsid w:val="006A5A63"/>
    <w:rsid w:val="006A66AC"/>
    <w:rsid w:val="006A746D"/>
    <w:rsid w:val="006A7817"/>
    <w:rsid w:val="006A7B01"/>
    <w:rsid w:val="006A7B9C"/>
    <w:rsid w:val="006A7BBB"/>
    <w:rsid w:val="006A7BDE"/>
    <w:rsid w:val="006A7C4E"/>
    <w:rsid w:val="006A7F02"/>
    <w:rsid w:val="006A7FA4"/>
    <w:rsid w:val="006B03A4"/>
    <w:rsid w:val="006B0606"/>
    <w:rsid w:val="006B0D51"/>
    <w:rsid w:val="006B105C"/>
    <w:rsid w:val="006B166F"/>
    <w:rsid w:val="006B19FF"/>
    <w:rsid w:val="006B2680"/>
    <w:rsid w:val="006B26D6"/>
    <w:rsid w:val="006B2BDD"/>
    <w:rsid w:val="006B2FD7"/>
    <w:rsid w:val="006B31B8"/>
    <w:rsid w:val="006B398D"/>
    <w:rsid w:val="006B46B8"/>
    <w:rsid w:val="006B46F4"/>
    <w:rsid w:val="006B49B8"/>
    <w:rsid w:val="006B4B4D"/>
    <w:rsid w:val="006B4BC8"/>
    <w:rsid w:val="006B4C08"/>
    <w:rsid w:val="006B4D99"/>
    <w:rsid w:val="006B4FAC"/>
    <w:rsid w:val="006B5B71"/>
    <w:rsid w:val="006B5B79"/>
    <w:rsid w:val="006B5BBA"/>
    <w:rsid w:val="006B6080"/>
    <w:rsid w:val="006B6E6E"/>
    <w:rsid w:val="006B7B72"/>
    <w:rsid w:val="006C0412"/>
    <w:rsid w:val="006C0875"/>
    <w:rsid w:val="006C092A"/>
    <w:rsid w:val="006C0AEF"/>
    <w:rsid w:val="006C0C57"/>
    <w:rsid w:val="006C0FE0"/>
    <w:rsid w:val="006C12D6"/>
    <w:rsid w:val="006C15F1"/>
    <w:rsid w:val="006C19D1"/>
    <w:rsid w:val="006C1A6E"/>
    <w:rsid w:val="006C1B61"/>
    <w:rsid w:val="006C1EB0"/>
    <w:rsid w:val="006C2151"/>
    <w:rsid w:val="006C21E9"/>
    <w:rsid w:val="006C22FB"/>
    <w:rsid w:val="006C267C"/>
    <w:rsid w:val="006C299F"/>
    <w:rsid w:val="006C2EA9"/>
    <w:rsid w:val="006C2FF8"/>
    <w:rsid w:val="006C3046"/>
    <w:rsid w:val="006C30AC"/>
    <w:rsid w:val="006C3100"/>
    <w:rsid w:val="006C3330"/>
    <w:rsid w:val="006C340E"/>
    <w:rsid w:val="006C357B"/>
    <w:rsid w:val="006C3825"/>
    <w:rsid w:val="006C38A0"/>
    <w:rsid w:val="006C4117"/>
    <w:rsid w:val="006C461A"/>
    <w:rsid w:val="006C4783"/>
    <w:rsid w:val="006C478D"/>
    <w:rsid w:val="006C484E"/>
    <w:rsid w:val="006C487B"/>
    <w:rsid w:val="006C4951"/>
    <w:rsid w:val="006C54E5"/>
    <w:rsid w:val="006C5AA0"/>
    <w:rsid w:val="006C5BBF"/>
    <w:rsid w:val="006C600E"/>
    <w:rsid w:val="006C6293"/>
    <w:rsid w:val="006C645A"/>
    <w:rsid w:val="006C6679"/>
    <w:rsid w:val="006C6821"/>
    <w:rsid w:val="006C6A9C"/>
    <w:rsid w:val="006C6CF2"/>
    <w:rsid w:val="006C75E6"/>
    <w:rsid w:val="006C7763"/>
    <w:rsid w:val="006C7B56"/>
    <w:rsid w:val="006C7CCC"/>
    <w:rsid w:val="006D055A"/>
    <w:rsid w:val="006D0BE6"/>
    <w:rsid w:val="006D12CF"/>
    <w:rsid w:val="006D1891"/>
    <w:rsid w:val="006D1E4A"/>
    <w:rsid w:val="006D2268"/>
    <w:rsid w:val="006D24EE"/>
    <w:rsid w:val="006D2917"/>
    <w:rsid w:val="006D2C8E"/>
    <w:rsid w:val="006D32CD"/>
    <w:rsid w:val="006D3949"/>
    <w:rsid w:val="006D3F21"/>
    <w:rsid w:val="006D41EE"/>
    <w:rsid w:val="006D46EB"/>
    <w:rsid w:val="006D4712"/>
    <w:rsid w:val="006D4795"/>
    <w:rsid w:val="006D4E07"/>
    <w:rsid w:val="006D4E8C"/>
    <w:rsid w:val="006D5890"/>
    <w:rsid w:val="006D613A"/>
    <w:rsid w:val="006D6261"/>
    <w:rsid w:val="006D690A"/>
    <w:rsid w:val="006D6B98"/>
    <w:rsid w:val="006D6BB6"/>
    <w:rsid w:val="006D7212"/>
    <w:rsid w:val="006D78BC"/>
    <w:rsid w:val="006D794D"/>
    <w:rsid w:val="006D7A8A"/>
    <w:rsid w:val="006D7D17"/>
    <w:rsid w:val="006E006F"/>
    <w:rsid w:val="006E02DA"/>
    <w:rsid w:val="006E0412"/>
    <w:rsid w:val="006E046F"/>
    <w:rsid w:val="006E090B"/>
    <w:rsid w:val="006E0E0C"/>
    <w:rsid w:val="006E168E"/>
    <w:rsid w:val="006E17AE"/>
    <w:rsid w:val="006E1CE6"/>
    <w:rsid w:val="006E1D18"/>
    <w:rsid w:val="006E1E6B"/>
    <w:rsid w:val="006E201D"/>
    <w:rsid w:val="006E2CD9"/>
    <w:rsid w:val="006E2E7B"/>
    <w:rsid w:val="006E3036"/>
    <w:rsid w:val="006E319C"/>
    <w:rsid w:val="006E3406"/>
    <w:rsid w:val="006E3955"/>
    <w:rsid w:val="006E3DE1"/>
    <w:rsid w:val="006E3FF2"/>
    <w:rsid w:val="006E4005"/>
    <w:rsid w:val="006E4006"/>
    <w:rsid w:val="006E44A2"/>
    <w:rsid w:val="006E46BF"/>
    <w:rsid w:val="006E4A76"/>
    <w:rsid w:val="006E4B44"/>
    <w:rsid w:val="006E4EB7"/>
    <w:rsid w:val="006E4F47"/>
    <w:rsid w:val="006E520F"/>
    <w:rsid w:val="006E59BE"/>
    <w:rsid w:val="006E59CE"/>
    <w:rsid w:val="006E5FA6"/>
    <w:rsid w:val="006E6421"/>
    <w:rsid w:val="006E650E"/>
    <w:rsid w:val="006E6695"/>
    <w:rsid w:val="006E6A1A"/>
    <w:rsid w:val="006E6EAB"/>
    <w:rsid w:val="006E7030"/>
    <w:rsid w:val="006E70B0"/>
    <w:rsid w:val="006E71E4"/>
    <w:rsid w:val="006E7F14"/>
    <w:rsid w:val="006E7F39"/>
    <w:rsid w:val="006E7F70"/>
    <w:rsid w:val="006F01A6"/>
    <w:rsid w:val="006F0235"/>
    <w:rsid w:val="006F0713"/>
    <w:rsid w:val="006F0A2C"/>
    <w:rsid w:val="006F0B38"/>
    <w:rsid w:val="006F0CD4"/>
    <w:rsid w:val="006F0DAA"/>
    <w:rsid w:val="006F122C"/>
    <w:rsid w:val="006F12CD"/>
    <w:rsid w:val="006F13B6"/>
    <w:rsid w:val="006F13D6"/>
    <w:rsid w:val="006F1A72"/>
    <w:rsid w:val="006F1FAC"/>
    <w:rsid w:val="006F23B4"/>
    <w:rsid w:val="006F2B23"/>
    <w:rsid w:val="006F2F47"/>
    <w:rsid w:val="006F37D9"/>
    <w:rsid w:val="006F3806"/>
    <w:rsid w:val="006F3972"/>
    <w:rsid w:val="006F3986"/>
    <w:rsid w:val="006F3F05"/>
    <w:rsid w:val="006F4504"/>
    <w:rsid w:val="006F4874"/>
    <w:rsid w:val="006F4BE9"/>
    <w:rsid w:val="006F4C61"/>
    <w:rsid w:val="006F4C90"/>
    <w:rsid w:val="006F4DEF"/>
    <w:rsid w:val="006F50C8"/>
    <w:rsid w:val="006F541B"/>
    <w:rsid w:val="006F5483"/>
    <w:rsid w:val="006F5F53"/>
    <w:rsid w:val="006F5F81"/>
    <w:rsid w:val="006F61CE"/>
    <w:rsid w:val="006F6339"/>
    <w:rsid w:val="006F63AB"/>
    <w:rsid w:val="006F654C"/>
    <w:rsid w:val="006F69D9"/>
    <w:rsid w:val="006F6B4D"/>
    <w:rsid w:val="006F6D60"/>
    <w:rsid w:val="006F6DD7"/>
    <w:rsid w:val="006F7096"/>
    <w:rsid w:val="006F7200"/>
    <w:rsid w:val="006F7335"/>
    <w:rsid w:val="006F762D"/>
    <w:rsid w:val="006F7757"/>
    <w:rsid w:val="006F78A5"/>
    <w:rsid w:val="007005E0"/>
    <w:rsid w:val="007008E1"/>
    <w:rsid w:val="007009EA"/>
    <w:rsid w:val="00700A04"/>
    <w:rsid w:val="00700AB9"/>
    <w:rsid w:val="00700C17"/>
    <w:rsid w:val="00700EBF"/>
    <w:rsid w:val="0070149F"/>
    <w:rsid w:val="00701818"/>
    <w:rsid w:val="00701ACC"/>
    <w:rsid w:val="00701AEC"/>
    <w:rsid w:val="00701B88"/>
    <w:rsid w:val="0070221C"/>
    <w:rsid w:val="00702308"/>
    <w:rsid w:val="0070260F"/>
    <w:rsid w:val="00702D94"/>
    <w:rsid w:val="0070307E"/>
    <w:rsid w:val="0070358F"/>
    <w:rsid w:val="00703E37"/>
    <w:rsid w:val="00703FF1"/>
    <w:rsid w:val="007042D5"/>
    <w:rsid w:val="00704411"/>
    <w:rsid w:val="00704621"/>
    <w:rsid w:val="00704A19"/>
    <w:rsid w:val="00704C76"/>
    <w:rsid w:val="00704F0B"/>
    <w:rsid w:val="00704F71"/>
    <w:rsid w:val="0070502C"/>
    <w:rsid w:val="00705197"/>
    <w:rsid w:val="0070538A"/>
    <w:rsid w:val="0070544E"/>
    <w:rsid w:val="007054E3"/>
    <w:rsid w:val="0070556F"/>
    <w:rsid w:val="007055BC"/>
    <w:rsid w:val="007055F2"/>
    <w:rsid w:val="007056BC"/>
    <w:rsid w:val="007058AF"/>
    <w:rsid w:val="00705939"/>
    <w:rsid w:val="007059AE"/>
    <w:rsid w:val="00705E0B"/>
    <w:rsid w:val="00706126"/>
    <w:rsid w:val="0070612A"/>
    <w:rsid w:val="00706373"/>
    <w:rsid w:val="0070683C"/>
    <w:rsid w:val="007068BD"/>
    <w:rsid w:val="00706C71"/>
    <w:rsid w:val="00707013"/>
    <w:rsid w:val="007070CE"/>
    <w:rsid w:val="00707263"/>
    <w:rsid w:val="00707464"/>
    <w:rsid w:val="00707A1C"/>
    <w:rsid w:val="00707BE7"/>
    <w:rsid w:val="00707C29"/>
    <w:rsid w:val="00707F32"/>
    <w:rsid w:val="00710216"/>
    <w:rsid w:val="0071032D"/>
    <w:rsid w:val="007105B6"/>
    <w:rsid w:val="007106CD"/>
    <w:rsid w:val="00710BC8"/>
    <w:rsid w:val="00710E55"/>
    <w:rsid w:val="00710E71"/>
    <w:rsid w:val="0071123D"/>
    <w:rsid w:val="007113C8"/>
    <w:rsid w:val="007117F5"/>
    <w:rsid w:val="007119C8"/>
    <w:rsid w:val="00711A82"/>
    <w:rsid w:val="00711C4A"/>
    <w:rsid w:val="00712124"/>
    <w:rsid w:val="00712237"/>
    <w:rsid w:val="00712571"/>
    <w:rsid w:val="0071257A"/>
    <w:rsid w:val="007126ED"/>
    <w:rsid w:val="007128D5"/>
    <w:rsid w:val="00712A81"/>
    <w:rsid w:val="00712AE0"/>
    <w:rsid w:val="00712BF4"/>
    <w:rsid w:val="0071324E"/>
    <w:rsid w:val="007132C0"/>
    <w:rsid w:val="00713AA9"/>
    <w:rsid w:val="00714627"/>
    <w:rsid w:val="00714E2B"/>
    <w:rsid w:val="00715171"/>
    <w:rsid w:val="007152F0"/>
    <w:rsid w:val="00715677"/>
    <w:rsid w:val="00715B5D"/>
    <w:rsid w:val="00715E81"/>
    <w:rsid w:val="00716736"/>
    <w:rsid w:val="00717F6F"/>
    <w:rsid w:val="00720428"/>
    <w:rsid w:val="007204AB"/>
    <w:rsid w:val="007205D0"/>
    <w:rsid w:val="007207B6"/>
    <w:rsid w:val="00720C24"/>
    <w:rsid w:val="0072167F"/>
    <w:rsid w:val="00721775"/>
    <w:rsid w:val="007218CB"/>
    <w:rsid w:val="007219ED"/>
    <w:rsid w:val="00721B13"/>
    <w:rsid w:val="00721FA7"/>
    <w:rsid w:val="00722038"/>
    <w:rsid w:val="00722171"/>
    <w:rsid w:val="00722355"/>
    <w:rsid w:val="0072255A"/>
    <w:rsid w:val="00722770"/>
    <w:rsid w:val="007228FA"/>
    <w:rsid w:val="00722DC8"/>
    <w:rsid w:val="00722F7E"/>
    <w:rsid w:val="0072326B"/>
    <w:rsid w:val="00723A2E"/>
    <w:rsid w:val="0072445A"/>
    <w:rsid w:val="00724A97"/>
    <w:rsid w:val="00724EFB"/>
    <w:rsid w:val="00725A47"/>
    <w:rsid w:val="00726707"/>
    <w:rsid w:val="00726768"/>
    <w:rsid w:val="00726C37"/>
    <w:rsid w:val="00727129"/>
    <w:rsid w:val="007271F0"/>
    <w:rsid w:val="00727393"/>
    <w:rsid w:val="00727F03"/>
    <w:rsid w:val="007305BA"/>
    <w:rsid w:val="007317AC"/>
    <w:rsid w:val="00731A2F"/>
    <w:rsid w:val="00731C1A"/>
    <w:rsid w:val="00731FAA"/>
    <w:rsid w:val="007321A7"/>
    <w:rsid w:val="007321AC"/>
    <w:rsid w:val="00732284"/>
    <w:rsid w:val="00732646"/>
    <w:rsid w:val="007327BD"/>
    <w:rsid w:val="00732E1F"/>
    <w:rsid w:val="00733230"/>
    <w:rsid w:val="00733280"/>
    <w:rsid w:val="007332A7"/>
    <w:rsid w:val="00733855"/>
    <w:rsid w:val="00733B06"/>
    <w:rsid w:val="00733B39"/>
    <w:rsid w:val="00733B46"/>
    <w:rsid w:val="00733C25"/>
    <w:rsid w:val="00734255"/>
    <w:rsid w:val="0073440F"/>
    <w:rsid w:val="00734819"/>
    <w:rsid w:val="00734AFB"/>
    <w:rsid w:val="00734DF0"/>
    <w:rsid w:val="007350A5"/>
    <w:rsid w:val="00735C9A"/>
    <w:rsid w:val="00735E5D"/>
    <w:rsid w:val="007365AE"/>
    <w:rsid w:val="00736853"/>
    <w:rsid w:val="00736905"/>
    <w:rsid w:val="00736AF8"/>
    <w:rsid w:val="007371AC"/>
    <w:rsid w:val="00737826"/>
    <w:rsid w:val="0073788B"/>
    <w:rsid w:val="00737D53"/>
    <w:rsid w:val="00740064"/>
    <w:rsid w:val="0074056D"/>
    <w:rsid w:val="00740705"/>
    <w:rsid w:val="00740B20"/>
    <w:rsid w:val="00740D32"/>
    <w:rsid w:val="0074103E"/>
    <w:rsid w:val="007411BC"/>
    <w:rsid w:val="0074134A"/>
    <w:rsid w:val="0074156A"/>
    <w:rsid w:val="007416D9"/>
    <w:rsid w:val="00741C36"/>
    <w:rsid w:val="00741D30"/>
    <w:rsid w:val="00742275"/>
    <w:rsid w:val="007422DD"/>
    <w:rsid w:val="00742394"/>
    <w:rsid w:val="007429DC"/>
    <w:rsid w:val="00742A4E"/>
    <w:rsid w:val="00742B56"/>
    <w:rsid w:val="00742E64"/>
    <w:rsid w:val="00743077"/>
    <w:rsid w:val="007433C7"/>
    <w:rsid w:val="00743C08"/>
    <w:rsid w:val="0074475B"/>
    <w:rsid w:val="00744D2D"/>
    <w:rsid w:val="00744FE5"/>
    <w:rsid w:val="007457EB"/>
    <w:rsid w:val="007462D0"/>
    <w:rsid w:val="0074643E"/>
    <w:rsid w:val="0074653C"/>
    <w:rsid w:val="00746AB4"/>
    <w:rsid w:val="00746D40"/>
    <w:rsid w:val="00747A39"/>
    <w:rsid w:val="00747A85"/>
    <w:rsid w:val="00747A9A"/>
    <w:rsid w:val="00747F81"/>
    <w:rsid w:val="00750040"/>
    <w:rsid w:val="0075056A"/>
    <w:rsid w:val="00750DC1"/>
    <w:rsid w:val="00750F1B"/>
    <w:rsid w:val="0075109E"/>
    <w:rsid w:val="00751599"/>
    <w:rsid w:val="00751ACE"/>
    <w:rsid w:val="00751C6A"/>
    <w:rsid w:val="00751C8D"/>
    <w:rsid w:val="00751F81"/>
    <w:rsid w:val="00752097"/>
    <w:rsid w:val="007522F4"/>
    <w:rsid w:val="00752391"/>
    <w:rsid w:val="007527F9"/>
    <w:rsid w:val="00752884"/>
    <w:rsid w:val="00752B71"/>
    <w:rsid w:val="00752D4A"/>
    <w:rsid w:val="00753650"/>
    <w:rsid w:val="007536E6"/>
    <w:rsid w:val="0075411D"/>
    <w:rsid w:val="0075435B"/>
    <w:rsid w:val="00754374"/>
    <w:rsid w:val="00754393"/>
    <w:rsid w:val="00754403"/>
    <w:rsid w:val="007547AC"/>
    <w:rsid w:val="007547CF"/>
    <w:rsid w:val="00754850"/>
    <w:rsid w:val="00754C38"/>
    <w:rsid w:val="00754E24"/>
    <w:rsid w:val="00754EF1"/>
    <w:rsid w:val="007552CA"/>
    <w:rsid w:val="00755A1F"/>
    <w:rsid w:val="00756060"/>
    <w:rsid w:val="007561FA"/>
    <w:rsid w:val="0075681C"/>
    <w:rsid w:val="00756850"/>
    <w:rsid w:val="00756E19"/>
    <w:rsid w:val="00757100"/>
    <w:rsid w:val="0075719D"/>
    <w:rsid w:val="00757CAD"/>
    <w:rsid w:val="00757F1B"/>
    <w:rsid w:val="00760199"/>
    <w:rsid w:val="007602D6"/>
    <w:rsid w:val="00760347"/>
    <w:rsid w:val="007604C1"/>
    <w:rsid w:val="007609E5"/>
    <w:rsid w:val="007612B5"/>
    <w:rsid w:val="00761851"/>
    <w:rsid w:val="00761CF6"/>
    <w:rsid w:val="0076245C"/>
    <w:rsid w:val="00762539"/>
    <w:rsid w:val="00762E28"/>
    <w:rsid w:val="00762EED"/>
    <w:rsid w:val="007630AA"/>
    <w:rsid w:val="007635E9"/>
    <w:rsid w:val="007637AF"/>
    <w:rsid w:val="007639DB"/>
    <w:rsid w:val="00763AF6"/>
    <w:rsid w:val="00763B88"/>
    <w:rsid w:val="007641D5"/>
    <w:rsid w:val="007644A7"/>
    <w:rsid w:val="00764935"/>
    <w:rsid w:val="00764A5C"/>
    <w:rsid w:val="00765054"/>
    <w:rsid w:val="0076525F"/>
    <w:rsid w:val="00766CEB"/>
    <w:rsid w:val="007671D9"/>
    <w:rsid w:val="00767487"/>
    <w:rsid w:val="00767B5F"/>
    <w:rsid w:val="00767B71"/>
    <w:rsid w:val="00767F75"/>
    <w:rsid w:val="0077085E"/>
    <w:rsid w:val="00770886"/>
    <w:rsid w:val="00770973"/>
    <w:rsid w:val="007709A5"/>
    <w:rsid w:val="00770A50"/>
    <w:rsid w:val="00771044"/>
    <w:rsid w:val="0077130E"/>
    <w:rsid w:val="0077140A"/>
    <w:rsid w:val="007714D7"/>
    <w:rsid w:val="007717D2"/>
    <w:rsid w:val="007718DF"/>
    <w:rsid w:val="00771DA3"/>
    <w:rsid w:val="00772451"/>
    <w:rsid w:val="007726C1"/>
    <w:rsid w:val="007728B5"/>
    <w:rsid w:val="00772995"/>
    <w:rsid w:val="00772E2C"/>
    <w:rsid w:val="007733B1"/>
    <w:rsid w:val="007736D5"/>
    <w:rsid w:val="007737CE"/>
    <w:rsid w:val="00773970"/>
    <w:rsid w:val="00773AF1"/>
    <w:rsid w:val="00773C67"/>
    <w:rsid w:val="007742C0"/>
    <w:rsid w:val="00774305"/>
    <w:rsid w:val="007744C4"/>
    <w:rsid w:val="0077461B"/>
    <w:rsid w:val="00774980"/>
    <w:rsid w:val="00774C9D"/>
    <w:rsid w:val="00775024"/>
    <w:rsid w:val="007753DE"/>
    <w:rsid w:val="007753F5"/>
    <w:rsid w:val="007754A2"/>
    <w:rsid w:val="00775532"/>
    <w:rsid w:val="007759DB"/>
    <w:rsid w:val="00775F1A"/>
    <w:rsid w:val="00776148"/>
    <w:rsid w:val="007761E0"/>
    <w:rsid w:val="0077633B"/>
    <w:rsid w:val="00776995"/>
    <w:rsid w:val="00776B7C"/>
    <w:rsid w:val="007771E3"/>
    <w:rsid w:val="0077737D"/>
    <w:rsid w:val="00777D19"/>
    <w:rsid w:val="00777EB6"/>
    <w:rsid w:val="0078020C"/>
    <w:rsid w:val="007803DF"/>
    <w:rsid w:val="007809EB"/>
    <w:rsid w:val="00780D04"/>
    <w:rsid w:val="00780D75"/>
    <w:rsid w:val="00780F87"/>
    <w:rsid w:val="00781605"/>
    <w:rsid w:val="0078182D"/>
    <w:rsid w:val="00781D4B"/>
    <w:rsid w:val="00782052"/>
    <w:rsid w:val="00782111"/>
    <w:rsid w:val="0078306B"/>
    <w:rsid w:val="00783204"/>
    <w:rsid w:val="00783605"/>
    <w:rsid w:val="007836C0"/>
    <w:rsid w:val="00783B2B"/>
    <w:rsid w:val="00784220"/>
    <w:rsid w:val="00784311"/>
    <w:rsid w:val="00784464"/>
    <w:rsid w:val="00784611"/>
    <w:rsid w:val="0078510F"/>
    <w:rsid w:val="00785451"/>
    <w:rsid w:val="007854E6"/>
    <w:rsid w:val="00785800"/>
    <w:rsid w:val="007858A0"/>
    <w:rsid w:val="00785D57"/>
    <w:rsid w:val="007860F1"/>
    <w:rsid w:val="00786222"/>
    <w:rsid w:val="00786441"/>
    <w:rsid w:val="00786454"/>
    <w:rsid w:val="007865FE"/>
    <w:rsid w:val="00786677"/>
    <w:rsid w:val="00786BFD"/>
    <w:rsid w:val="00786D0B"/>
    <w:rsid w:val="00786E79"/>
    <w:rsid w:val="007874FE"/>
    <w:rsid w:val="00787EF0"/>
    <w:rsid w:val="00787F8F"/>
    <w:rsid w:val="00790928"/>
    <w:rsid w:val="00790C07"/>
    <w:rsid w:val="00790C30"/>
    <w:rsid w:val="00790FBB"/>
    <w:rsid w:val="00791037"/>
    <w:rsid w:val="0079123C"/>
    <w:rsid w:val="0079139B"/>
    <w:rsid w:val="00791B6A"/>
    <w:rsid w:val="00791E87"/>
    <w:rsid w:val="00792336"/>
    <w:rsid w:val="007927D4"/>
    <w:rsid w:val="00792E08"/>
    <w:rsid w:val="00792EEA"/>
    <w:rsid w:val="00793273"/>
    <w:rsid w:val="00793421"/>
    <w:rsid w:val="00793482"/>
    <w:rsid w:val="0079360A"/>
    <w:rsid w:val="007936B5"/>
    <w:rsid w:val="0079375F"/>
    <w:rsid w:val="0079385B"/>
    <w:rsid w:val="007942AD"/>
    <w:rsid w:val="00794690"/>
    <w:rsid w:val="0079480E"/>
    <w:rsid w:val="00794814"/>
    <w:rsid w:val="007948C4"/>
    <w:rsid w:val="00794AAC"/>
    <w:rsid w:val="00794CCC"/>
    <w:rsid w:val="00794E18"/>
    <w:rsid w:val="00794EAA"/>
    <w:rsid w:val="00794EE5"/>
    <w:rsid w:val="00795564"/>
    <w:rsid w:val="0079561B"/>
    <w:rsid w:val="00795D95"/>
    <w:rsid w:val="00795E9F"/>
    <w:rsid w:val="00795F43"/>
    <w:rsid w:val="00796116"/>
    <w:rsid w:val="00796C3C"/>
    <w:rsid w:val="00796D16"/>
    <w:rsid w:val="0079714A"/>
    <w:rsid w:val="00797345"/>
    <w:rsid w:val="0079735A"/>
    <w:rsid w:val="0079765B"/>
    <w:rsid w:val="0079793C"/>
    <w:rsid w:val="00797A03"/>
    <w:rsid w:val="00797E43"/>
    <w:rsid w:val="00797FA5"/>
    <w:rsid w:val="007A025C"/>
    <w:rsid w:val="007A028F"/>
    <w:rsid w:val="007A0345"/>
    <w:rsid w:val="007A04F6"/>
    <w:rsid w:val="007A09F3"/>
    <w:rsid w:val="007A0D49"/>
    <w:rsid w:val="007A12BE"/>
    <w:rsid w:val="007A158F"/>
    <w:rsid w:val="007A18D4"/>
    <w:rsid w:val="007A2389"/>
    <w:rsid w:val="007A2657"/>
    <w:rsid w:val="007A28A2"/>
    <w:rsid w:val="007A299E"/>
    <w:rsid w:val="007A2D03"/>
    <w:rsid w:val="007A31F2"/>
    <w:rsid w:val="007A32D5"/>
    <w:rsid w:val="007A3425"/>
    <w:rsid w:val="007A388C"/>
    <w:rsid w:val="007A3AB4"/>
    <w:rsid w:val="007A3B3D"/>
    <w:rsid w:val="007A408A"/>
    <w:rsid w:val="007A4AE9"/>
    <w:rsid w:val="007A4AFE"/>
    <w:rsid w:val="007A4B31"/>
    <w:rsid w:val="007A4D15"/>
    <w:rsid w:val="007A4DE8"/>
    <w:rsid w:val="007A4F6E"/>
    <w:rsid w:val="007A5517"/>
    <w:rsid w:val="007A56B4"/>
    <w:rsid w:val="007A5927"/>
    <w:rsid w:val="007A62F1"/>
    <w:rsid w:val="007A6706"/>
    <w:rsid w:val="007A6930"/>
    <w:rsid w:val="007A6C14"/>
    <w:rsid w:val="007A6C80"/>
    <w:rsid w:val="007A6CD9"/>
    <w:rsid w:val="007A6D69"/>
    <w:rsid w:val="007A715F"/>
    <w:rsid w:val="007A71F3"/>
    <w:rsid w:val="007A721E"/>
    <w:rsid w:val="007A7476"/>
    <w:rsid w:val="007A7B2E"/>
    <w:rsid w:val="007A7E67"/>
    <w:rsid w:val="007B03EA"/>
    <w:rsid w:val="007B047C"/>
    <w:rsid w:val="007B0FDE"/>
    <w:rsid w:val="007B15B3"/>
    <w:rsid w:val="007B19D0"/>
    <w:rsid w:val="007B1EE8"/>
    <w:rsid w:val="007B1F4E"/>
    <w:rsid w:val="007B2455"/>
    <w:rsid w:val="007B2520"/>
    <w:rsid w:val="007B2646"/>
    <w:rsid w:val="007B2734"/>
    <w:rsid w:val="007B2CA8"/>
    <w:rsid w:val="007B2F60"/>
    <w:rsid w:val="007B30F6"/>
    <w:rsid w:val="007B349B"/>
    <w:rsid w:val="007B34A3"/>
    <w:rsid w:val="007B3795"/>
    <w:rsid w:val="007B3A02"/>
    <w:rsid w:val="007B3B65"/>
    <w:rsid w:val="007B3E75"/>
    <w:rsid w:val="007B4287"/>
    <w:rsid w:val="007B42DD"/>
    <w:rsid w:val="007B42E0"/>
    <w:rsid w:val="007B454C"/>
    <w:rsid w:val="007B459E"/>
    <w:rsid w:val="007B477C"/>
    <w:rsid w:val="007B4784"/>
    <w:rsid w:val="007B4ADC"/>
    <w:rsid w:val="007B562A"/>
    <w:rsid w:val="007B568E"/>
    <w:rsid w:val="007B5BCC"/>
    <w:rsid w:val="007B685B"/>
    <w:rsid w:val="007B6BF8"/>
    <w:rsid w:val="007B73B6"/>
    <w:rsid w:val="007B7508"/>
    <w:rsid w:val="007B775E"/>
    <w:rsid w:val="007B7AC8"/>
    <w:rsid w:val="007B7E74"/>
    <w:rsid w:val="007B7E75"/>
    <w:rsid w:val="007C00B1"/>
    <w:rsid w:val="007C037D"/>
    <w:rsid w:val="007C05BB"/>
    <w:rsid w:val="007C0697"/>
    <w:rsid w:val="007C0707"/>
    <w:rsid w:val="007C0877"/>
    <w:rsid w:val="007C0A18"/>
    <w:rsid w:val="007C0AE2"/>
    <w:rsid w:val="007C0C64"/>
    <w:rsid w:val="007C0E8B"/>
    <w:rsid w:val="007C0F72"/>
    <w:rsid w:val="007C12F3"/>
    <w:rsid w:val="007C154C"/>
    <w:rsid w:val="007C1A76"/>
    <w:rsid w:val="007C1C8D"/>
    <w:rsid w:val="007C1DC2"/>
    <w:rsid w:val="007C2074"/>
    <w:rsid w:val="007C2155"/>
    <w:rsid w:val="007C223A"/>
    <w:rsid w:val="007C230D"/>
    <w:rsid w:val="007C256B"/>
    <w:rsid w:val="007C2B0D"/>
    <w:rsid w:val="007C2D34"/>
    <w:rsid w:val="007C3319"/>
    <w:rsid w:val="007C36B0"/>
    <w:rsid w:val="007C3F8E"/>
    <w:rsid w:val="007C444B"/>
    <w:rsid w:val="007C4554"/>
    <w:rsid w:val="007C48A1"/>
    <w:rsid w:val="007C4E6E"/>
    <w:rsid w:val="007C5207"/>
    <w:rsid w:val="007C55BA"/>
    <w:rsid w:val="007C59D8"/>
    <w:rsid w:val="007C5ABE"/>
    <w:rsid w:val="007C664E"/>
    <w:rsid w:val="007C6A4F"/>
    <w:rsid w:val="007C6AF3"/>
    <w:rsid w:val="007C6CB9"/>
    <w:rsid w:val="007C6CD6"/>
    <w:rsid w:val="007C6D43"/>
    <w:rsid w:val="007C72AC"/>
    <w:rsid w:val="007C74F0"/>
    <w:rsid w:val="007C7722"/>
    <w:rsid w:val="007C780D"/>
    <w:rsid w:val="007C7B62"/>
    <w:rsid w:val="007C7BCF"/>
    <w:rsid w:val="007D0C5E"/>
    <w:rsid w:val="007D0CBE"/>
    <w:rsid w:val="007D0D63"/>
    <w:rsid w:val="007D1092"/>
    <w:rsid w:val="007D12AA"/>
    <w:rsid w:val="007D17C7"/>
    <w:rsid w:val="007D1D41"/>
    <w:rsid w:val="007D1D93"/>
    <w:rsid w:val="007D26BB"/>
    <w:rsid w:val="007D26F5"/>
    <w:rsid w:val="007D26FF"/>
    <w:rsid w:val="007D2C6D"/>
    <w:rsid w:val="007D3C1E"/>
    <w:rsid w:val="007D402F"/>
    <w:rsid w:val="007D47DE"/>
    <w:rsid w:val="007D48DB"/>
    <w:rsid w:val="007D4CF4"/>
    <w:rsid w:val="007D4F02"/>
    <w:rsid w:val="007D516A"/>
    <w:rsid w:val="007D52B5"/>
    <w:rsid w:val="007D5646"/>
    <w:rsid w:val="007D568A"/>
    <w:rsid w:val="007D5766"/>
    <w:rsid w:val="007D586C"/>
    <w:rsid w:val="007D58F0"/>
    <w:rsid w:val="007D608D"/>
    <w:rsid w:val="007D62D0"/>
    <w:rsid w:val="007D6306"/>
    <w:rsid w:val="007D6546"/>
    <w:rsid w:val="007D661D"/>
    <w:rsid w:val="007D67FD"/>
    <w:rsid w:val="007D6B27"/>
    <w:rsid w:val="007D7819"/>
    <w:rsid w:val="007D7CBE"/>
    <w:rsid w:val="007D7CC4"/>
    <w:rsid w:val="007E005E"/>
    <w:rsid w:val="007E01B9"/>
    <w:rsid w:val="007E0204"/>
    <w:rsid w:val="007E0464"/>
    <w:rsid w:val="007E04B8"/>
    <w:rsid w:val="007E0A3B"/>
    <w:rsid w:val="007E0AF0"/>
    <w:rsid w:val="007E0B5D"/>
    <w:rsid w:val="007E103E"/>
    <w:rsid w:val="007E10CB"/>
    <w:rsid w:val="007E1AE0"/>
    <w:rsid w:val="007E1C9F"/>
    <w:rsid w:val="007E1D47"/>
    <w:rsid w:val="007E25EA"/>
    <w:rsid w:val="007E3150"/>
    <w:rsid w:val="007E33B0"/>
    <w:rsid w:val="007E35B5"/>
    <w:rsid w:val="007E3D14"/>
    <w:rsid w:val="007E47EF"/>
    <w:rsid w:val="007E49F4"/>
    <w:rsid w:val="007E4A6F"/>
    <w:rsid w:val="007E517D"/>
    <w:rsid w:val="007E51B4"/>
    <w:rsid w:val="007E5519"/>
    <w:rsid w:val="007E5BF5"/>
    <w:rsid w:val="007E5E77"/>
    <w:rsid w:val="007E6505"/>
    <w:rsid w:val="007E6E3F"/>
    <w:rsid w:val="007E70E4"/>
    <w:rsid w:val="007E7197"/>
    <w:rsid w:val="007E73D0"/>
    <w:rsid w:val="007E7435"/>
    <w:rsid w:val="007E779E"/>
    <w:rsid w:val="007F054F"/>
    <w:rsid w:val="007F0582"/>
    <w:rsid w:val="007F0599"/>
    <w:rsid w:val="007F12BF"/>
    <w:rsid w:val="007F1955"/>
    <w:rsid w:val="007F1B22"/>
    <w:rsid w:val="007F1BF7"/>
    <w:rsid w:val="007F2309"/>
    <w:rsid w:val="007F248D"/>
    <w:rsid w:val="007F24FE"/>
    <w:rsid w:val="007F2664"/>
    <w:rsid w:val="007F2778"/>
    <w:rsid w:val="007F2C21"/>
    <w:rsid w:val="007F3151"/>
    <w:rsid w:val="007F315E"/>
    <w:rsid w:val="007F336E"/>
    <w:rsid w:val="007F373F"/>
    <w:rsid w:val="007F3E53"/>
    <w:rsid w:val="007F4495"/>
    <w:rsid w:val="007F46F2"/>
    <w:rsid w:val="007F493B"/>
    <w:rsid w:val="007F4C5A"/>
    <w:rsid w:val="007F50CE"/>
    <w:rsid w:val="007F5511"/>
    <w:rsid w:val="007F553D"/>
    <w:rsid w:val="007F563D"/>
    <w:rsid w:val="007F57EE"/>
    <w:rsid w:val="007F5B0C"/>
    <w:rsid w:val="007F5DD5"/>
    <w:rsid w:val="007F5E30"/>
    <w:rsid w:val="007F64F4"/>
    <w:rsid w:val="007F6ADF"/>
    <w:rsid w:val="007F6E4E"/>
    <w:rsid w:val="007F6EE1"/>
    <w:rsid w:val="007F7374"/>
    <w:rsid w:val="007F7558"/>
    <w:rsid w:val="007F7B4B"/>
    <w:rsid w:val="007F7D97"/>
    <w:rsid w:val="00801230"/>
    <w:rsid w:val="00801700"/>
    <w:rsid w:val="00801BBB"/>
    <w:rsid w:val="00801E8D"/>
    <w:rsid w:val="008020F7"/>
    <w:rsid w:val="00802369"/>
    <w:rsid w:val="00802714"/>
    <w:rsid w:val="00802811"/>
    <w:rsid w:val="00802D2B"/>
    <w:rsid w:val="00802FBB"/>
    <w:rsid w:val="00803169"/>
    <w:rsid w:val="00803215"/>
    <w:rsid w:val="00803259"/>
    <w:rsid w:val="008032E8"/>
    <w:rsid w:val="008035C3"/>
    <w:rsid w:val="008037C6"/>
    <w:rsid w:val="008037F9"/>
    <w:rsid w:val="00803AB8"/>
    <w:rsid w:val="00803DED"/>
    <w:rsid w:val="00803E11"/>
    <w:rsid w:val="00803E6E"/>
    <w:rsid w:val="00803F5A"/>
    <w:rsid w:val="00804422"/>
    <w:rsid w:val="0080471E"/>
    <w:rsid w:val="00804DCE"/>
    <w:rsid w:val="00804FEC"/>
    <w:rsid w:val="0080517C"/>
    <w:rsid w:val="008059FF"/>
    <w:rsid w:val="008060F5"/>
    <w:rsid w:val="0080615A"/>
    <w:rsid w:val="00806666"/>
    <w:rsid w:val="008069DD"/>
    <w:rsid w:val="00806B1D"/>
    <w:rsid w:val="00806BCB"/>
    <w:rsid w:val="00806E42"/>
    <w:rsid w:val="008070DC"/>
    <w:rsid w:val="00807650"/>
    <w:rsid w:val="00807B05"/>
    <w:rsid w:val="00807C9B"/>
    <w:rsid w:val="00807DAE"/>
    <w:rsid w:val="00807F07"/>
    <w:rsid w:val="00810C52"/>
    <w:rsid w:val="008114F4"/>
    <w:rsid w:val="00811DE8"/>
    <w:rsid w:val="00811F74"/>
    <w:rsid w:val="0081201C"/>
    <w:rsid w:val="008122B5"/>
    <w:rsid w:val="008126E4"/>
    <w:rsid w:val="00813591"/>
    <w:rsid w:val="008135BF"/>
    <w:rsid w:val="0081361F"/>
    <w:rsid w:val="008136D2"/>
    <w:rsid w:val="00813ED0"/>
    <w:rsid w:val="008142DB"/>
    <w:rsid w:val="00814389"/>
    <w:rsid w:val="00814405"/>
    <w:rsid w:val="008148B6"/>
    <w:rsid w:val="00814F70"/>
    <w:rsid w:val="008153C1"/>
    <w:rsid w:val="00815518"/>
    <w:rsid w:val="00815524"/>
    <w:rsid w:val="0081561F"/>
    <w:rsid w:val="0081575B"/>
    <w:rsid w:val="0081581E"/>
    <w:rsid w:val="00815960"/>
    <w:rsid w:val="008159C5"/>
    <w:rsid w:val="0081614B"/>
    <w:rsid w:val="008161E0"/>
    <w:rsid w:val="0081621B"/>
    <w:rsid w:val="00816537"/>
    <w:rsid w:val="00816686"/>
    <w:rsid w:val="00816ADB"/>
    <w:rsid w:val="00816C34"/>
    <w:rsid w:val="00816E59"/>
    <w:rsid w:val="00816F1F"/>
    <w:rsid w:val="00817282"/>
    <w:rsid w:val="00817490"/>
    <w:rsid w:val="008178B0"/>
    <w:rsid w:val="00817A84"/>
    <w:rsid w:val="00817B69"/>
    <w:rsid w:val="00817DCC"/>
    <w:rsid w:val="00817EBB"/>
    <w:rsid w:val="00820215"/>
    <w:rsid w:val="008203E9"/>
    <w:rsid w:val="00820823"/>
    <w:rsid w:val="00820AC0"/>
    <w:rsid w:val="00820BB0"/>
    <w:rsid w:val="00820BE5"/>
    <w:rsid w:val="00820C74"/>
    <w:rsid w:val="00820CF2"/>
    <w:rsid w:val="008213BD"/>
    <w:rsid w:val="00821569"/>
    <w:rsid w:val="00821CBA"/>
    <w:rsid w:val="00821F25"/>
    <w:rsid w:val="00821F3A"/>
    <w:rsid w:val="008220BD"/>
    <w:rsid w:val="00822281"/>
    <w:rsid w:val="0082235D"/>
    <w:rsid w:val="008223A9"/>
    <w:rsid w:val="0082269D"/>
    <w:rsid w:val="0082289B"/>
    <w:rsid w:val="0082291E"/>
    <w:rsid w:val="00822B17"/>
    <w:rsid w:val="00823003"/>
    <w:rsid w:val="008239F7"/>
    <w:rsid w:val="00823A63"/>
    <w:rsid w:val="00823E18"/>
    <w:rsid w:val="008240E7"/>
    <w:rsid w:val="00824379"/>
    <w:rsid w:val="00824528"/>
    <w:rsid w:val="008247A6"/>
    <w:rsid w:val="00824D8C"/>
    <w:rsid w:val="00825105"/>
    <w:rsid w:val="00825181"/>
    <w:rsid w:val="008251EC"/>
    <w:rsid w:val="00825505"/>
    <w:rsid w:val="00825D8C"/>
    <w:rsid w:val="00825F72"/>
    <w:rsid w:val="00825FAF"/>
    <w:rsid w:val="0082648A"/>
    <w:rsid w:val="008270A3"/>
    <w:rsid w:val="008273C3"/>
    <w:rsid w:val="00827539"/>
    <w:rsid w:val="008277BF"/>
    <w:rsid w:val="00827902"/>
    <w:rsid w:val="00830048"/>
    <w:rsid w:val="008300CC"/>
    <w:rsid w:val="008301B2"/>
    <w:rsid w:val="00830A1A"/>
    <w:rsid w:val="00830E26"/>
    <w:rsid w:val="00830E87"/>
    <w:rsid w:val="00830FF8"/>
    <w:rsid w:val="00831122"/>
    <w:rsid w:val="00831A76"/>
    <w:rsid w:val="00831D8B"/>
    <w:rsid w:val="00832221"/>
    <w:rsid w:val="00832511"/>
    <w:rsid w:val="00832604"/>
    <w:rsid w:val="008328D9"/>
    <w:rsid w:val="00832B00"/>
    <w:rsid w:val="00832B3E"/>
    <w:rsid w:val="00832B5D"/>
    <w:rsid w:val="00832D35"/>
    <w:rsid w:val="00833024"/>
    <w:rsid w:val="008333AE"/>
    <w:rsid w:val="00833C2D"/>
    <w:rsid w:val="00833FF9"/>
    <w:rsid w:val="008342F8"/>
    <w:rsid w:val="008345A5"/>
    <w:rsid w:val="008348C7"/>
    <w:rsid w:val="00834EB8"/>
    <w:rsid w:val="0083501D"/>
    <w:rsid w:val="008350A1"/>
    <w:rsid w:val="008352A3"/>
    <w:rsid w:val="008352BE"/>
    <w:rsid w:val="00835B07"/>
    <w:rsid w:val="00835B17"/>
    <w:rsid w:val="00835D20"/>
    <w:rsid w:val="0083664F"/>
    <w:rsid w:val="00836921"/>
    <w:rsid w:val="008371BB"/>
    <w:rsid w:val="0083745C"/>
    <w:rsid w:val="00837463"/>
    <w:rsid w:val="00837FF0"/>
    <w:rsid w:val="0084020E"/>
    <w:rsid w:val="008402DD"/>
    <w:rsid w:val="00840398"/>
    <w:rsid w:val="008404A7"/>
    <w:rsid w:val="008407C9"/>
    <w:rsid w:val="00840987"/>
    <w:rsid w:val="00840C26"/>
    <w:rsid w:val="00840C9E"/>
    <w:rsid w:val="00840DEF"/>
    <w:rsid w:val="008411C6"/>
    <w:rsid w:val="008413ED"/>
    <w:rsid w:val="008416B5"/>
    <w:rsid w:val="00841775"/>
    <w:rsid w:val="00841ED2"/>
    <w:rsid w:val="00841FFA"/>
    <w:rsid w:val="008421A9"/>
    <w:rsid w:val="008421C2"/>
    <w:rsid w:val="00842233"/>
    <w:rsid w:val="0084292D"/>
    <w:rsid w:val="00843010"/>
    <w:rsid w:val="00843108"/>
    <w:rsid w:val="0084331E"/>
    <w:rsid w:val="0084349A"/>
    <w:rsid w:val="00843508"/>
    <w:rsid w:val="00843630"/>
    <w:rsid w:val="00843953"/>
    <w:rsid w:val="0084407A"/>
    <w:rsid w:val="008443DE"/>
    <w:rsid w:val="00844788"/>
    <w:rsid w:val="00844840"/>
    <w:rsid w:val="00844BCA"/>
    <w:rsid w:val="00844C2A"/>
    <w:rsid w:val="00844D19"/>
    <w:rsid w:val="0084501A"/>
    <w:rsid w:val="00845458"/>
    <w:rsid w:val="0084575D"/>
    <w:rsid w:val="00845789"/>
    <w:rsid w:val="008458C1"/>
    <w:rsid w:val="00845AB1"/>
    <w:rsid w:val="00845C4E"/>
    <w:rsid w:val="0084620A"/>
    <w:rsid w:val="008462C0"/>
    <w:rsid w:val="0084640D"/>
    <w:rsid w:val="0084648E"/>
    <w:rsid w:val="008471C0"/>
    <w:rsid w:val="008475BC"/>
    <w:rsid w:val="00847BDC"/>
    <w:rsid w:val="00847BFC"/>
    <w:rsid w:val="00847F09"/>
    <w:rsid w:val="008500CB"/>
    <w:rsid w:val="008503BE"/>
    <w:rsid w:val="00850539"/>
    <w:rsid w:val="00850B9D"/>
    <w:rsid w:val="00850CE8"/>
    <w:rsid w:val="00850E46"/>
    <w:rsid w:val="00850F82"/>
    <w:rsid w:val="00851001"/>
    <w:rsid w:val="008515E8"/>
    <w:rsid w:val="00851808"/>
    <w:rsid w:val="008518A3"/>
    <w:rsid w:val="008519F9"/>
    <w:rsid w:val="008523B8"/>
    <w:rsid w:val="0085290E"/>
    <w:rsid w:val="00852E12"/>
    <w:rsid w:val="00852E8C"/>
    <w:rsid w:val="0085300A"/>
    <w:rsid w:val="00853240"/>
    <w:rsid w:val="008538BA"/>
    <w:rsid w:val="00853AEE"/>
    <w:rsid w:val="00853C12"/>
    <w:rsid w:val="00853E7C"/>
    <w:rsid w:val="00853F46"/>
    <w:rsid w:val="00854105"/>
    <w:rsid w:val="008541A5"/>
    <w:rsid w:val="00854581"/>
    <w:rsid w:val="00854629"/>
    <w:rsid w:val="0085466B"/>
    <w:rsid w:val="00854715"/>
    <w:rsid w:val="00854791"/>
    <w:rsid w:val="00854A5A"/>
    <w:rsid w:val="00854B0E"/>
    <w:rsid w:val="00854B8F"/>
    <w:rsid w:val="00854BDF"/>
    <w:rsid w:val="00854BE0"/>
    <w:rsid w:val="00855723"/>
    <w:rsid w:val="00855B9A"/>
    <w:rsid w:val="00855BEE"/>
    <w:rsid w:val="00855C49"/>
    <w:rsid w:val="00855FF7"/>
    <w:rsid w:val="008563CC"/>
    <w:rsid w:val="008564D1"/>
    <w:rsid w:val="00856543"/>
    <w:rsid w:val="00856A7D"/>
    <w:rsid w:val="00856BCF"/>
    <w:rsid w:val="00856BE7"/>
    <w:rsid w:val="008574AA"/>
    <w:rsid w:val="00857888"/>
    <w:rsid w:val="00857C8D"/>
    <w:rsid w:val="00857E4F"/>
    <w:rsid w:val="00857F19"/>
    <w:rsid w:val="008606F2"/>
    <w:rsid w:val="00860A1B"/>
    <w:rsid w:val="008614A3"/>
    <w:rsid w:val="0086153F"/>
    <w:rsid w:val="008616A1"/>
    <w:rsid w:val="008616EE"/>
    <w:rsid w:val="008618F6"/>
    <w:rsid w:val="00861A3E"/>
    <w:rsid w:val="00861A45"/>
    <w:rsid w:val="00861B55"/>
    <w:rsid w:val="00862455"/>
    <w:rsid w:val="00862714"/>
    <w:rsid w:val="008630FF"/>
    <w:rsid w:val="0086341D"/>
    <w:rsid w:val="00863459"/>
    <w:rsid w:val="00863660"/>
    <w:rsid w:val="00863701"/>
    <w:rsid w:val="008639F7"/>
    <w:rsid w:val="00863CD2"/>
    <w:rsid w:val="00863F03"/>
    <w:rsid w:val="00863F0F"/>
    <w:rsid w:val="0086430E"/>
    <w:rsid w:val="0086463C"/>
    <w:rsid w:val="00864819"/>
    <w:rsid w:val="0086566D"/>
    <w:rsid w:val="008656BB"/>
    <w:rsid w:val="008656DD"/>
    <w:rsid w:val="00865742"/>
    <w:rsid w:val="00865A07"/>
    <w:rsid w:val="00865B98"/>
    <w:rsid w:val="00865D87"/>
    <w:rsid w:val="00866068"/>
    <w:rsid w:val="008663A7"/>
    <w:rsid w:val="008665A6"/>
    <w:rsid w:val="0086699C"/>
    <w:rsid w:val="00866BF8"/>
    <w:rsid w:val="00866EBA"/>
    <w:rsid w:val="0086706F"/>
    <w:rsid w:val="00867071"/>
    <w:rsid w:val="00867111"/>
    <w:rsid w:val="00867482"/>
    <w:rsid w:val="0086758A"/>
    <w:rsid w:val="00867A31"/>
    <w:rsid w:val="00867AF2"/>
    <w:rsid w:val="00867DC0"/>
    <w:rsid w:val="00867E17"/>
    <w:rsid w:val="00870042"/>
    <w:rsid w:val="00871094"/>
    <w:rsid w:val="008717B8"/>
    <w:rsid w:val="008717E3"/>
    <w:rsid w:val="008718E1"/>
    <w:rsid w:val="00871A39"/>
    <w:rsid w:val="00871FFF"/>
    <w:rsid w:val="008721E8"/>
    <w:rsid w:val="00872C4C"/>
    <w:rsid w:val="00872C8E"/>
    <w:rsid w:val="00872FC2"/>
    <w:rsid w:val="00873632"/>
    <w:rsid w:val="00873657"/>
    <w:rsid w:val="00873E52"/>
    <w:rsid w:val="00873E6A"/>
    <w:rsid w:val="00873E7E"/>
    <w:rsid w:val="00874E50"/>
    <w:rsid w:val="00875138"/>
    <w:rsid w:val="008753C9"/>
    <w:rsid w:val="008758AD"/>
    <w:rsid w:val="008758E9"/>
    <w:rsid w:val="00875A0F"/>
    <w:rsid w:val="008763BC"/>
    <w:rsid w:val="008763D0"/>
    <w:rsid w:val="00876CC9"/>
    <w:rsid w:val="00876CF9"/>
    <w:rsid w:val="00876DB7"/>
    <w:rsid w:val="00876E16"/>
    <w:rsid w:val="00876E50"/>
    <w:rsid w:val="0087757B"/>
    <w:rsid w:val="008776CB"/>
    <w:rsid w:val="0087781B"/>
    <w:rsid w:val="0087788A"/>
    <w:rsid w:val="0087795C"/>
    <w:rsid w:val="0088029C"/>
    <w:rsid w:val="00880492"/>
    <w:rsid w:val="0088060A"/>
    <w:rsid w:val="00880F96"/>
    <w:rsid w:val="00880FA3"/>
    <w:rsid w:val="008814CA"/>
    <w:rsid w:val="008818A8"/>
    <w:rsid w:val="008821BB"/>
    <w:rsid w:val="00882239"/>
    <w:rsid w:val="00882318"/>
    <w:rsid w:val="00882507"/>
    <w:rsid w:val="008828A4"/>
    <w:rsid w:val="00882A7C"/>
    <w:rsid w:val="00882C3F"/>
    <w:rsid w:val="00882E78"/>
    <w:rsid w:val="00883045"/>
    <w:rsid w:val="00883354"/>
    <w:rsid w:val="0088336A"/>
    <w:rsid w:val="00883440"/>
    <w:rsid w:val="00883D08"/>
    <w:rsid w:val="00883F27"/>
    <w:rsid w:val="00884B1A"/>
    <w:rsid w:val="00884B66"/>
    <w:rsid w:val="00884CD0"/>
    <w:rsid w:val="00884D6C"/>
    <w:rsid w:val="00884D91"/>
    <w:rsid w:val="00885234"/>
    <w:rsid w:val="0088538C"/>
    <w:rsid w:val="00885617"/>
    <w:rsid w:val="00885E9C"/>
    <w:rsid w:val="00885EC8"/>
    <w:rsid w:val="008864E5"/>
    <w:rsid w:val="008864F0"/>
    <w:rsid w:val="0088683D"/>
    <w:rsid w:val="00886AD3"/>
    <w:rsid w:val="00886D91"/>
    <w:rsid w:val="00886DE7"/>
    <w:rsid w:val="008871AB"/>
    <w:rsid w:val="0088737E"/>
    <w:rsid w:val="00887794"/>
    <w:rsid w:val="008877EF"/>
    <w:rsid w:val="00887885"/>
    <w:rsid w:val="008879C7"/>
    <w:rsid w:val="00887A10"/>
    <w:rsid w:val="00887B2D"/>
    <w:rsid w:val="008901B6"/>
    <w:rsid w:val="0089020B"/>
    <w:rsid w:val="008905A5"/>
    <w:rsid w:val="0089087A"/>
    <w:rsid w:val="00890E95"/>
    <w:rsid w:val="008912CF"/>
    <w:rsid w:val="00891683"/>
    <w:rsid w:val="0089178C"/>
    <w:rsid w:val="008917B2"/>
    <w:rsid w:val="00891E75"/>
    <w:rsid w:val="008920E4"/>
    <w:rsid w:val="008923EB"/>
    <w:rsid w:val="008924A2"/>
    <w:rsid w:val="00892CCC"/>
    <w:rsid w:val="00892E5F"/>
    <w:rsid w:val="0089300F"/>
    <w:rsid w:val="00893375"/>
    <w:rsid w:val="0089371C"/>
    <w:rsid w:val="00893D64"/>
    <w:rsid w:val="00893E7A"/>
    <w:rsid w:val="00893F8A"/>
    <w:rsid w:val="008946B2"/>
    <w:rsid w:val="008952C2"/>
    <w:rsid w:val="00895382"/>
    <w:rsid w:val="00895433"/>
    <w:rsid w:val="0089584F"/>
    <w:rsid w:val="00895AEA"/>
    <w:rsid w:val="00896710"/>
    <w:rsid w:val="00896B23"/>
    <w:rsid w:val="00896C91"/>
    <w:rsid w:val="00896DAA"/>
    <w:rsid w:val="00896E3E"/>
    <w:rsid w:val="00896F7F"/>
    <w:rsid w:val="00896F8F"/>
    <w:rsid w:val="00896FCF"/>
    <w:rsid w:val="00897267"/>
    <w:rsid w:val="0089768B"/>
    <w:rsid w:val="00897ED5"/>
    <w:rsid w:val="008A064C"/>
    <w:rsid w:val="008A07B5"/>
    <w:rsid w:val="008A085B"/>
    <w:rsid w:val="008A08B2"/>
    <w:rsid w:val="008A08CA"/>
    <w:rsid w:val="008A0A7E"/>
    <w:rsid w:val="008A0BB0"/>
    <w:rsid w:val="008A0CD1"/>
    <w:rsid w:val="008A0DB5"/>
    <w:rsid w:val="008A13C8"/>
    <w:rsid w:val="008A1432"/>
    <w:rsid w:val="008A1490"/>
    <w:rsid w:val="008A1ACB"/>
    <w:rsid w:val="008A2353"/>
    <w:rsid w:val="008A2413"/>
    <w:rsid w:val="008A2455"/>
    <w:rsid w:val="008A254A"/>
    <w:rsid w:val="008A2622"/>
    <w:rsid w:val="008A2794"/>
    <w:rsid w:val="008A2A7F"/>
    <w:rsid w:val="008A2DC4"/>
    <w:rsid w:val="008A3164"/>
    <w:rsid w:val="008A43E7"/>
    <w:rsid w:val="008A44B1"/>
    <w:rsid w:val="008A4581"/>
    <w:rsid w:val="008A46A2"/>
    <w:rsid w:val="008A46C5"/>
    <w:rsid w:val="008A48A1"/>
    <w:rsid w:val="008A51F7"/>
    <w:rsid w:val="008A51FF"/>
    <w:rsid w:val="008A563C"/>
    <w:rsid w:val="008A5EB8"/>
    <w:rsid w:val="008A6443"/>
    <w:rsid w:val="008A64D4"/>
    <w:rsid w:val="008A69DF"/>
    <w:rsid w:val="008A6CF3"/>
    <w:rsid w:val="008A6CFD"/>
    <w:rsid w:val="008A7564"/>
    <w:rsid w:val="008A76C8"/>
    <w:rsid w:val="008A7781"/>
    <w:rsid w:val="008B0637"/>
    <w:rsid w:val="008B0671"/>
    <w:rsid w:val="008B0CBB"/>
    <w:rsid w:val="008B139B"/>
    <w:rsid w:val="008B13C6"/>
    <w:rsid w:val="008B170D"/>
    <w:rsid w:val="008B1E76"/>
    <w:rsid w:val="008B2657"/>
    <w:rsid w:val="008B2B38"/>
    <w:rsid w:val="008B2D5A"/>
    <w:rsid w:val="008B3169"/>
    <w:rsid w:val="008B3552"/>
    <w:rsid w:val="008B3F98"/>
    <w:rsid w:val="008B40EC"/>
    <w:rsid w:val="008B4206"/>
    <w:rsid w:val="008B4257"/>
    <w:rsid w:val="008B4708"/>
    <w:rsid w:val="008B479D"/>
    <w:rsid w:val="008B5019"/>
    <w:rsid w:val="008B52F6"/>
    <w:rsid w:val="008B5434"/>
    <w:rsid w:val="008B59FD"/>
    <w:rsid w:val="008B5B84"/>
    <w:rsid w:val="008B5DDC"/>
    <w:rsid w:val="008B6506"/>
    <w:rsid w:val="008B6BD3"/>
    <w:rsid w:val="008B72C8"/>
    <w:rsid w:val="008B7B70"/>
    <w:rsid w:val="008B7C41"/>
    <w:rsid w:val="008C060B"/>
    <w:rsid w:val="008C06A1"/>
    <w:rsid w:val="008C0C0A"/>
    <w:rsid w:val="008C1BBD"/>
    <w:rsid w:val="008C2366"/>
    <w:rsid w:val="008C23BF"/>
    <w:rsid w:val="008C23E0"/>
    <w:rsid w:val="008C29B0"/>
    <w:rsid w:val="008C2D1E"/>
    <w:rsid w:val="008C2D39"/>
    <w:rsid w:val="008C2D72"/>
    <w:rsid w:val="008C2D78"/>
    <w:rsid w:val="008C32CA"/>
    <w:rsid w:val="008C32EC"/>
    <w:rsid w:val="008C34F5"/>
    <w:rsid w:val="008C359A"/>
    <w:rsid w:val="008C3A9C"/>
    <w:rsid w:val="008C3AA0"/>
    <w:rsid w:val="008C3DBB"/>
    <w:rsid w:val="008C4009"/>
    <w:rsid w:val="008C461A"/>
    <w:rsid w:val="008C4864"/>
    <w:rsid w:val="008C4BD2"/>
    <w:rsid w:val="008C4ED2"/>
    <w:rsid w:val="008C504A"/>
    <w:rsid w:val="008C51C9"/>
    <w:rsid w:val="008C55B2"/>
    <w:rsid w:val="008C5AAD"/>
    <w:rsid w:val="008C6025"/>
    <w:rsid w:val="008C6030"/>
    <w:rsid w:val="008C6229"/>
    <w:rsid w:val="008C6395"/>
    <w:rsid w:val="008C6598"/>
    <w:rsid w:val="008C69FD"/>
    <w:rsid w:val="008C7062"/>
    <w:rsid w:val="008C70AC"/>
    <w:rsid w:val="008C7313"/>
    <w:rsid w:val="008C7355"/>
    <w:rsid w:val="008C74FE"/>
    <w:rsid w:val="008C7807"/>
    <w:rsid w:val="008C7A60"/>
    <w:rsid w:val="008C7A82"/>
    <w:rsid w:val="008C7D6F"/>
    <w:rsid w:val="008C7F8A"/>
    <w:rsid w:val="008D06BA"/>
    <w:rsid w:val="008D0912"/>
    <w:rsid w:val="008D0928"/>
    <w:rsid w:val="008D0CEE"/>
    <w:rsid w:val="008D0DF4"/>
    <w:rsid w:val="008D101D"/>
    <w:rsid w:val="008D1555"/>
    <w:rsid w:val="008D15C7"/>
    <w:rsid w:val="008D1AD0"/>
    <w:rsid w:val="008D1C9C"/>
    <w:rsid w:val="008D1F7F"/>
    <w:rsid w:val="008D2AFC"/>
    <w:rsid w:val="008D2B75"/>
    <w:rsid w:val="008D3462"/>
    <w:rsid w:val="008D365C"/>
    <w:rsid w:val="008D38EF"/>
    <w:rsid w:val="008D3DAC"/>
    <w:rsid w:val="008D3DBF"/>
    <w:rsid w:val="008D47B5"/>
    <w:rsid w:val="008D4CB3"/>
    <w:rsid w:val="008D58F9"/>
    <w:rsid w:val="008D5D2A"/>
    <w:rsid w:val="008D5F4E"/>
    <w:rsid w:val="008D645F"/>
    <w:rsid w:val="008D6515"/>
    <w:rsid w:val="008D69D8"/>
    <w:rsid w:val="008D70D4"/>
    <w:rsid w:val="008D72D4"/>
    <w:rsid w:val="008D735B"/>
    <w:rsid w:val="008D75A2"/>
    <w:rsid w:val="008D76C3"/>
    <w:rsid w:val="008D7783"/>
    <w:rsid w:val="008D7B46"/>
    <w:rsid w:val="008D7BD7"/>
    <w:rsid w:val="008D7FE6"/>
    <w:rsid w:val="008E0011"/>
    <w:rsid w:val="008E0020"/>
    <w:rsid w:val="008E08F2"/>
    <w:rsid w:val="008E09EF"/>
    <w:rsid w:val="008E0A6F"/>
    <w:rsid w:val="008E0D7D"/>
    <w:rsid w:val="008E0FA3"/>
    <w:rsid w:val="008E111A"/>
    <w:rsid w:val="008E1165"/>
    <w:rsid w:val="008E167F"/>
    <w:rsid w:val="008E17BE"/>
    <w:rsid w:val="008E18B4"/>
    <w:rsid w:val="008E1A4D"/>
    <w:rsid w:val="008E1A7A"/>
    <w:rsid w:val="008E1CB9"/>
    <w:rsid w:val="008E1E47"/>
    <w:rsid w:val="008E1FBE"/>
    <w:rsid w:val="008E2037"/>
    <w:rsid w:val="008E234B"/>
    <w:rsid w:val="008E26E7"/>
    <w:rsid w:val="008E274F"/>
    <w:rsid w:val="008E29C9"/>
    <w:rsid w:val="008E2C54"/>
    <w:rsid w:val="008E2C86"/>
    <w:rsid w:val="008E33B0"/>
    <w:rsid w:val="008E34D9"/>
    <w:rsid w:val="008E359F"/>
    <w:rsid w:val="008E376F"/>
    <w:rsid w:val="008E407C"/>
    <w:rsid w:val="008E4234"/>
    <w:rsid w:val="008E42E9"/>
    <w:rsid w:val="008E43A6"/>
    <w:rsid w:val="008E5C9F"/>
    <w:rsid w:val="008E5D0E"/>
    <w:rsid w:val="008E5EC1"/>
    <w:rsid w:val="008E61A1"/>
    <w:rsid w:val="008E62C7"/>
    <w:rsid w:val="008E635C"/>
    <w:rsid w:val="008E6569"/>
    <w:rsid w:val="008E677F"/>
    <w:rsid w:val="008E7066"/>
    <w:rsid w:val="008E7226"/>
    <w:rsid w:val="008E73B0"/>
    <w:rsid w:val="008E73D5"/>
    <w:rsid w:val="008E74BA"/>
    <w:rsid w:val="008E755E"/>
    <w:rsid w:val="008E7570"/>
    <w:rsid w:val="008E7B1D"/>
    <w:rsid w:val="008F02EF"/>
    <w:rsid w:val="008F0886"/>
    <w:rsid w:val="008F08CD"/>
    <w:rsid w:val="008F1183"/>
    <w:rsid w:val="008F17BE"/>
    <w:rsid w:val="008F192F"/>
    <w:rsid w:val="008F264D"/>
    <w:rsid w:val="008F270B"/>
    <w:rsid w:val="008F2A5B"/>
    <w:rsid w:val="008F2C06"/>
    <w:rsid w:val="008F2C3D"/>
    <w:rsid w:val="008F2D0D"/>
    <w:rsid w:val="008F2D97"/>
    <w:rsid w:val="008F31AE"/>
    <w:rsid w:val="008F3227"/>
    <w:rsid w:val="008F3259"/>
    <w:rsid w:val="008F388F"/>
    <w:rsid w:val="008F391B"/>
    <w:rsid w:val="008F39B9"/>
    <w:rsid w:val="008F3BAF"/>
    <w:rsid w:val="008F3C98"/>
    <w:rsid w:val="008F3DF0"/>
    <w:rsid w:val="008F42AC"/>
    <w:rsid w:val="008F47D3"/>
    <w:rsid w:val="008F4810"/>
    <w:rsid w:val="008F4979"/>
    <w:rsid w:val="008F4A7A"/>
    <w:rsid w:val="008F4E82"/>
    <w:rsid w:val="008F5113"/>
    <w:rsid w:val="008F5218"/>
    <w:rsid w:val="008F52EE"/>
    <w:rsid w:val="008F550B"/>
    <w:rsid w:val="008F5F76"/>
    <w:rsid w:val="008F600F"/>
    <w:rsid w:val="008F6293"/>
    <w:rsid w:val="008F62BB"/>
    <w:rsid w:val="008F63D7"/>
    <w:rsid w:val="008F6557"/>
    <w:rsid w:val="008F66AD"/>
    <w:rsid w:val="008F66F1"/>
    <w:rsid w:val="008F70C3"/>
    <w:rsid w:val="008F71F0"/>
    <w:rsid w:val="008F7213"/>
    <w:rsid w:val="008F7271"/>
    <w:rsid w:val="008F72FF"/>
    <w:rsid w:val="008F7755"/>
    <w:rsid w:val="008F7A37"/>
    <w:rsid w:val="00900572"/>
    <w:rsid w:val="009007A1"/>
    <w:rsid w:val="00900B67"/>
    <w:rsid w:val="00900F24"/>
    <w:rsid w:val="0090107A"/>
    <w:rsid w:val="009011E0"/>
    <w:rsid w:val="00901690"/>
    <w:rsid w:val="00901EE4"/>
    <w:rsid w:val="00901F2C"/>
    <w:rsid w:val="00902123"/>
    <w:rsid w:val="009023B7"/>
    <w:rsid w:val="00902898"/>
    <w:rsid w:val="00902D72"/>
    <w:rsid w:val="00902EB9"/>
    <w:rsid w:val="009032EE"/>
    <w:rsid w:val="00903AE5"/>
    <w:rsid w:val="00903DDA"/>
    <w:rsid w:val="00903E4B"/>
    <w:rsid w:val="009042D9"/>
    <w:rsid w:val="00904619"/>
    <w:rsid w:val="00904A5A"/>
    <w:rsid w:val="00904BF2"/>
    <w:rsid w:val="00904CB6"/>
    <w:rsid w:val="00904CE6"/>
    <w:rsid w:val="00904DA3"/>
    <w:rsid w:val="00904FE0"/>
    <w:rsid w:val="00905FFD"/>
    <w:rsid w:val="00906802"/>
    <w:rsid w:val="0090684D"/>
    <w:rsid w:val="009068E3"/>
    <w:rsid w:val="00906ED3"/>
    <w:rsid w:val="009070E9"/>
    <w:rsid w:val="009074B5"/>
    <w:rsid w:val="0090768C"/>
    <w:rsid w:val="0090785B"/>
    <w:rsid w:val="00907D22"/>
    <w:rsid w:val="00910057"/>
    <w:rsid w:val="0091018C"/>
    <w:rsid w:val="00910344"/>
    <w:rsid w:val="009104CD"/>
    <w:rsid w:val="00910A40"/>
    <w:rsid w:val="00910A87"/>
    <w:rsid w:val="00910B66"/>
    <w:rsid w:val="00910EAB"/>
    <w:rsid w:val="00911840"/>
    <w:rsid w:val="0091198C"/>
    <w:rsid w:val="00911A4C"/>
    <w:rsid w:val="00911B81"/>
    <w:rsid w:val="00911BAD"/>
    <w:rsid w:val="00911BB9"/>
    <w:rsid w:val="00912720"/>
    <w:rsid w:val="0091274C"/>
    <w:rsid w:val="00912AA2"/>
    <w:rsid w:val="00912BE7"/>
    <w:rsid w:val="00912F2C"/>
    <w:rsid w:val="00913103"/>
    <w:rsid w:val="009132B6"/>
    <w:rsid w:val="009133CD"/>
    <w:rsid w:val="00913FAE"/>
    <w:rsid w:val="00914565"/>
    <w:rsid w:val="009149C4"/>
    <w:rsid w:val="00914DEB"/>
    <w:rsid w:val="0091506B"/>
    <w:rsid w:val="0091535E"/>
    <w:rsid w:val="00915ECD"/>
    <w:rsid w:val="0091612D"/>
    <w:rsid w:val="00916343"/>
    <w:rsid w:val="00916397"/>
    <w:rsid w:val="00916772"/>
    <w:rsid w:val="009168D5"/>
    <w:rsid w:val="009170B4"/>
    <w:rsid w:val="0091748F"/>
    <w:rsid w:val="009175B9"/>
    <w:rsid w:val="0091798F"/>
    <w:rsid w:val="00917B08"/>
    <w:rsid w:val="00917BF7"/>
    <w:rsid w:val="00917E86"/>
    <w:rsid w:val="00917EFA"/>
    <w:rsid w:val="0092035F"/>
    <w:rsid w:val="00920931"/>
    <w:rsid w:val="0092096D"/>
    <w:rsid w:val="00920D08"/>
    <w:rsid w:val="009215D1"/>
    <w:rsid w:val="009216BE"/>
    <w:rsid w:val="00921B4B"/>
    <w:rsid w:val="00921DB5"/>
    <w:rsid w:val="00921DE6"/>
    <w:rsid w:val="00921E3E"/>
    <w:rsid w:val="00921E5A"/>
    <w:rsid w:val="009220BE"/>
    <w:rsid w:val="0092217E"/>
    <w:rsid w:val="00922E87"/>
    <w:rsid w:val="0092307F"/>
    <w:rsid w:val="009236AC"/>
    <w:rsid w:val="00923819"/>
    <w:rsid w:val="00924618"/>
    <w:rsid w:val="00924BA7"/>
    <w:rsid w:val="00924F3F"/>
    <w:rsid w:val="0092522D"/>
    <w:rsid w:val="009253F6"/>
    <w:rsid w:val="0092542D"/>
    <w:rsid w:val="00925A5D"/>
    <w:rsid w:val="00925FD5"/>
    <w:rsid w:val="0092601C"/>
    <w:rsid w:val="00926175"/>
    <w:rsid w:val="00926675"/>
    <w:rsid w:val="009266A9"/>
    <w:rsid w:val="00926946"/>
    <w:rsid w:val="00926F6A"/>
    <w:rsid w:val="00927281"/>
    <w:rsid w:val="009272D2"/>
    <w:rsid w:val="0092736A"/>
    <w:rsid w:val="009275C9"/>
    <w:rsid w:val="009276AE"/>
    <w:rsid w:val="009276B2"/>
    <w:rsid w:val="009277AD"/>
    <w:rsid w:val="00927998"/>
    <w:rsid w:val="00927AE0"/>
    <w:rsid w:val="00927B4A"/>
    <w:rsid w:val="00927EAE"/>
    <w:rsid w:val="009302CC"/>
    <w:rsid w:val="009305B5"/>
    <w:rsid w:val="00930758"/>
    <w:rsid w:val="00930A2B"/>
    <w:rsid w:val="00930AD7"/>
    <w:rsid w:val="00930EB3"/>
    <w:rsid w:val="00931197"/>
    <w:rsid w:val="0093124E"/>
    <w:rsid w:val="00932590"/>
    <w:rsid w:val="00932B71"/>
    <w:rsid w:val="00932C82"/>
    <w:rsid w:val="009331DF"/>
    <w:rsid w:val="0093324A"/>
    <w:rsid w:val="0093331A"/>
    <w:rsid w:val="0093343D"/>
    <w:rsid w:val="00933497"/>
    <w:rsid w:val="00933734"/>
    <w:rsid w:val="00933843"/>
    <w:rsid w:val="00933B2E"/>
    <w:rsid w:val="00934182"/>
    <w:rsid w:val="00934249"/>
    <w:rsid w:val="009342E0"/>
    <w:rsid w:val="0093463F"/>
    <w:rsid w:val="00934C95"/>
    <w:rsid w:val="00934CCA"/>
    <w:rsid w:val="009350D8"/>
    <w:rsid w:val="00935123"/>
    <w:rsid w:val="0093531D"/>
    <w:rsid w:val="00935438"/>
    <w:rsid w:val="009358D7"/>
    <w:rsid w:val="009359FC"/>
    <w:rsid w:val="00935E32"/>
    <w:rsid w:val="0093654E"/>
    <w:rsid w:val="009365D7"/>
    <w:rsid w:val="009366C8"/>
    <w:rsid w:val="00936765"/>
    <w:rsid w:val="00936B3C"/>
    <w:rsid w:val="00936C5D"/>
    <w:rsid w:val="00936DAD"/>
    <w:rsid w:val="0093707A"/>
    <w:rsid w:val="0093714E"/>
    <w:rsid w:val="00937185"/>
    <w:rsid w:val="0093774F"/>
    <w:rsid w:val="0093784F"/>
    <w:rsid w:val="00937947"/>
    <w:rsid w:val="00937A6D"/>
    <w:rsid w:val="00937A86"/>
    <w:rsid w:val="00937B5B"/>
    <w:rsid w:val="00937E39"/>
    <w:rsid w:val="00937FA8"/>
    <w:rsid w:val="00937FC9"/>
    <w:rsid w:val="0094027C"/>
    <w:rsid w:val="00940494"/>
    <w:rsid w:val="009404BF"/>
    <w:rsid w:val="00940713"/>
    <w:rsid w:val="0094095C"/>
    <w:rsid w:val="00940A0B"/>
    <w:rsid w:val="00940AB2"/>
    <w:rsid w:val="00941563"/>
    <w:rsid w:val="00941678"/>
    <w:rsid w:val="009422EA"/>
    <w:rsid w:val="009426C5"/>
    <w:rsid w:val="0094287F"/>
    <w:rsid w:val="00942B08"/>
    <w:rsid w:val="00942BD6"/>
    <w:rsid w:val="00942C5C"/>
    <w:rsid w:val="00942F6F"/>
    <w:rsid w:val="0094322E"/>
    <w:rsid w:val="00943C49"/>
    <w:rsid w:val="00943CCF"/>
    <w:rsid w:val="00943D0E"/>
    <w:rsid w:val="00943D21"/>
    <w:rsid w:val="009443AC"/>
    <w:rsid w:val="0094453B"/>
    <w:rsid w:val="009445EF"/>
    <w:rsid w:val="00944605"/>
    <w:rsid w:val="0094498B"/>
    <w:rsid w:val="00944B15"/>
    <w:rsid w:val="00944C7E"/>
    <w:rsid w:val="00944DCF"/>
    <w:rsid w:val="00944EFD"/>
    <w:rsid w:val="00944F75"/>
    <w:rsid w:val="00945275"/>
    <w:rsid w:val="00945315"/>
    <w:rsid w:val="00945C78"/>
    <w:rsid w:val="00945E16"/>
    <w:rsid w:val="00946276"/>
    <w:rsid w:val="009462AD"/>
    <w:rsid w:val="00946388"/>
    <w:rsid w:val="009466A5"/>
    <w:rsid w:val="00946885"/>
    <w:rsid w:val="00947785"/>
    <w:rsid w:val="00947815"/>
    <w:rsid w:val="00947F47"/>
    <w:rsid w:val="0095032C"/>
    <w:rsid w:val="00950755"/>
    <w:rsid w:val="00950776"/>
    <w:rsid w:val="00950A09"/>
    <w:rsid w:val="00950F6E"/>
    <w:rsid w:val="00951062"/>
    <w:rsid w:val="00951120"/>
    <w:rsid w:val="00951653"/>
    <w:rsid w:val="00951A53"/>
    <w:rsid w:val="00951BE3"/>
    <w:rsid w:val="00951E99"/>
    <w:rsid w:val="00952149"/>
    <w:rsid w:val="00952674"/>
    <w:rsid w:val="009529A6"/>
    <w:rsid w:val="00952B10"/>
    <w:rsid w:val="00952C3B"/>
    <w:rsid w:val="00952EE0"/>
    <w:rsid w:val="00953030"/>
    <w:rsid w:val="009530C3"/>
    <w:rsid w:val="0095314A"/>
    <w:rsid w:val="009534CA"/>
    <w:rsid w:val="00953937"/>
    <w:rsid w:val="00953AC0"/>
    <w:rsid w:val="00953B07"/>
    <w:rsid w:val="0095417E"/>
    <w:rsid w:val="00954795"/>
    <w:rsid w:val="00954F7E"/>
    <w:rsid w:val="009550B4"/>
    <w:rsid w:val="009551AF"/>
    <w:rsid w:val="009551F7"/>
    <w:rsid w:val="009552AF"/>
    <w:rsid w:val="00955BB1"/>
    <w:rsid w:val="00955F40"/>
    <w:rsid w:val="009560E0"/>
    <w:rsid w:val="00956A9F"/>
    <w:rsid w:val="00956BF9"/>
    <w:rsid w:val="009570BD"/>
    <w:rsid w:val="00957506"/>
    <w:rsid w:val="009576EE"/>
    <w:rsid w:val="009577EF"/>
    <w:rsid w:val="00957D7D"/>
    <w:rsid w:val="00957D9F"/>
    <w:rsid w:val="0096003E"/>
    <w:rsid w:val="0096016F"/>
    <w:rsid w:val="009601B7"/>
    <w:rsid w:val="009605FA"/>
    <w:rsid w:val="00960F28"/>
    <w:rsid w:val="00960F44"/>
    <w:rsid w:val="00961182"/>
    <w:rsid w:val="009617DC"/>
    <w:rsid w:val="00961EA7"/>
    <w:rsid w:val="00961F93"/>
    <w:rsid w:val="009626A5"/>
    <w:rsid w:val="00962E0E"/>
    <w:rsid w:val="00962EF6"/>
    <w:rsid w:val="009634BE"/>
    <w:rsid w:val="009635E8"/>
    <w:rsid w:val="00963628"/>
    <w:rsid w:val="009638D7"/>
    <w:rsid w:val="00963BC3"/>
    <w:rsid w:val="00963CB4"/>
    <w:rsid w:val="00963D68"/>
    <w:rsid w:val="00964220"/>
    <w:rsid w:val="00964833"/>
    <w:rsid w:val="00964DA3"/>
    <w:rsid w:val="00964F82"/>
    <w:rsid w:val="009652AD"/>
    <w:rsid w:val="009652B0"/>
    <w:rsid w:val="00965805"/>
    <w:rsid w:val="00965957"/>
    <w:rsid w:val="009659D9"/>
    <w:rsid w:val="00965CF3"/>
    <w:rsid w:val="00965FAC"/>
    <w:rsid w:val="0096609B"/>
    <w:rsid w:val="00966532"/>
    <w:rsid w:val="009666FC"/>
    <w:rsid w:val="00966899"/>
    <w:rsid w:val="009668D3"/>
    <w:rsid w:val="00966D93"/>
    <w:rsid w:val="009671B6"/>
    <w:rsid w:val="009672B1"/>
    <w:rsid w:val="009700B8"/>
    <w:rsid w:val="00970176"/>
    <w:rsid w:val="00970185"/>
    <w:rsid w:val="00970341"/>
    <w:rsid w:val="00970422"/>
    <w:rsid w:val="009705C0"/>
    <w:rsid w:val="0097070C"/>
    <w:rsid w:val="00970B94"/>
    <w:rsid w:val="009712C9"/>
    <w:rsid w:val="0097136B"/>
    <w:rsid w:val="009714B6"/>
    <w:rsid w:val="009715FC"/>
    <w:rsid w:val="00971C7C"/>
    <w:rsid w:val="00972A0B"/>
    <w:rsid w:val="00972C47"/>
    <w:rsid w:val="00972E1B"/>
    <w:rsid w:val="0097389F"/>
    <w:rsid w:val="00973A5C"/>
    <w:rsid w:val="00973E2F"/>
    <w:rsid w:val="00973E38"/>
    <w:rsid w:val="00974212"/>
    <w:rsid w:val="00974273"/>
    <w:rsid w:val="009742BC"/>
    <w:rsid w:val="009743A3"/>
    <w:rsid w:val="00974465"/>
    <w:rsid w:val="009746CE"/>
    <w:rsid w:val="00975004"/>
    <w:rsid w:val="0097511F"/>
    <w:rsid w:val="00975799"/>
    <w:rsid w:val="00975862"/>
    <w:rsid w:val="00975F17"/>
    <w:rsid w:val="00975FAA"/>
    <w:rsid w:val="00976093"/>
    <w:rsid w:val="00976CE8"/>
    <w:rsid w:val="00976FF4"/>
    <w:rsid w:val="009771D2"/>
    <w:rsid w:val="0097720A"/>
    <w:rsid w:val="009772A7"/>
    <w:rsid w:val="0097737C"/>
    <w:rsid w:val="0097746B"/>
    <w:rsid w:val="0097796C"/>
    <w:rsid w:val="00977C9D"/>
    <w:rsid w:val="00977D1E"/>
    <w:rsid w:val="00977E88"/>
    <w:rsid w:val="00980A4F"/>
    <w:rsid w:val="00981538"/>
    <w:rsid w:val="00981820"/>
    <w:rsid w:val="00981AE6"/>
    <w:rsid w:val="009825E2"/>
    <w:rsid w:val="00982818"/>
    <w:rsid w:val="00982B00"/>
    <w:rsid w:val="00982C00"/>
    <w:rsid w:val="0098327B"/>
    <w:rsid w:val="009838B1"/>
    <w:rsid w:val="00983F88"/>
    <w:rsid w:val="0098416D"/>
    <w:rsid w:val="009843AE"/>
    <w:rsid w:val="00984993"/>
    <w:rsid w:val="00984B46"/>
    <w:rsid w:val="00984CB7"/>
    <w:rsid w:val="00984D6B"/>
    <w:rsid w:val="00984F47"/>
    <w:rsid w:val="0098518E"/>
    <w:rsid w:val="0098545C"/>
    <w:rsid w:val="00985AC8"/>
    <w:rsid w:val="00985DA0"/>
    <w:rsid w:val="00985F3A"/>
    <w:rsid w:val="00985FDF"/>
    <w:rsid w:val="009861C7"/>
    <w:rsid w:val="009862CB"/>
    <w:rsid w:val="00986465"/>
    <w:rsid w:val="00986769"/>
    <w:rsid w:val="00986D5B"/>
    <w:rsid w:val="009873BF"/>
    <w:rsid w:val="009873EE"/>
    <w:rsid w:val="00987A38"/>
    <w:rsid w:val="00987E5B"/>
    <w:rsid w:val="00987E7D"/>
    <w:rsid w:val="00990008"/>
    <w:rsid w:val="0099020E"/>
    <w:rsid w:val="00990BA2"/>
    <w:rsid w:val="00990D70"/>
    <w:rsid w:val="00991043"/>
    <w:rsid w:val="00991A9A"/>
    <w:rsid w:val="00992AFB"/>
    <w:rsid w:val="00993575"/>
    <w:rsid w:val="00993DDC"/>
    <w:rsid w:val="009941C9"/>
    <w:rsid w:val="009941D8"/>
    <w:rsid w:val="0099490A"/>
    <w:rsid w:val="00994912"/>
    <w:rsid w:val="00994AB0"/>
    <w:rsid w:val="00994CA7"/>
    <w:rsid w:val="00994E15"/>
    <w:rsid w:val="00994E94"/>
    <w:rsid w:val="009950C1"/>
    <w:rsid w:val="0099516B"/>
    <w:rsid w:val="009953D1"/>
    <w:rsid w:val="0099612A"/>
    <w:rsid w:val="00996B23"/>
    <w:rsid w:val="00996C73"/>
    <w:rsid w:val="00997148"/>
    <w:rsid w:val="0099720C"/>
    <w:rsid w:val="009972AC"/>
    <w:rsid w:val="009972C1"/>
    <w:rsid w:val="00997455"/>
    <w:rsid w:val="00997474"/>
    <w:rsid w:val="00997478"/>
    <w:rsid w:val="00997C1D"/>
    <w:rsid w:val="009A01AB"/>
    <w:rsid w:val="009A05F3"/>
    <w:rsid w:val="009A0643"/>
    <w:rsid w:val="009A07A1"/>
    <w:rsid w:val="009A09C8"/>
    <w:rsid w:val="009A0DC4"/>
    <w:rsid w:val="009A0F1A"/>
    <w:rsid w:val="009A0FFA"/>
    <w:rsid w:val="009A11B3"/>
    <w:rsid w:val="009A137B"/>
    <w:rsid w:val="009A1622"/>
    <w:rsid w:val="009A1781"/>
    <w:rsid w:val="009A1A5A"/>
    <w:rsid w:val="009A1BD3"/>
    <w:rsid w:val="009A1F8F"/>
    <w:rsid w:val="009A2034"/>
    <w:rsid w:val="009A20FA"/>
    <w:rsid w:val="009A2146"/>
    <w:rsid w:val="009A215F"/>
    <w:rsid w:val="009A229A"/>
    <w:rsid w:val="009A2765"/>
    <w:rsid w:val="009A28D4"/>
    <w:rsid w:val="009A29D9"/>
    <w:rsid w:val="009A29F6"/>
    <w:rsid w:val="009A2BA3"/>
    <w:rsid w:val="009A2C5E"/>
    <w:rsid w:val="009A3117"/>
    <w:rsid w:val="009A34D3"/>
    <w:rsid w:val="009A3720"/>
    <w:rsid w:val="009A3732"/>
    <w:rsid w:val="009A393F"/>
    <w:rsid w:val="009A3DED"/>
    <w:rsid w:val="009A3E9C"/>
    <w:rsid w:val="009A3FE1"/>
    <w:rsid w:val="009A41CA"/>
    <w:rsid w:val="009A44C0"/>
    <w:rsid w:val="009A497E"/>
    <w:rsid w:val="009A4987"/>
    <w:rsid w:val="009A4C01"/>
    <w:rsid w:val="009A4E0D"/>
    <w:rsid w:val="009A4F6A"/>
    <w:rsid w:val="009A588D"/>
    <w:rsid w:val="009A5BB1"/>
    <w:rsid w:val="009A6113"/>
    <w:rsid w:val="009A617C"/>
    <w:rsid w:val="009A6BC2"/>
    <w:rsid w:val="009A6CD4"/>
    <w:rsid w:val="009A7641"/>
    <w:rsid w:val="009A7689"/>
    <w:rsid w:val="009B0E2D"/>
    <w:rsid w:val="009B0F43"/>
    <w:rsid w:val="009B0FF0"/>
    <w:rsid w:val="009B10C8"/>
    <w:rsid w:val="009B1126"/>
    <w:rsid w:val="009B1833"/>
    <w:rsid w:val="009B1A62"/>
    <w:rsid w:val="009B1B71"/>
    <w:rsid w:val="009B1BCC"/>
    <w:rsid w:val="009B1BD2"/>
    <w:rsid w:val="009B1BFF"/>
    <w:rsid w:val="009B1D54"/>
    <w:rsid w:val="009B1DFA"/>
    <w:rsid w:val="009B2084"/>
    <w:rsid w:val="009B217B"/>
    <w:rsid w:val="009B24A2"/>
    <w:rsid w:val="009B24D4"/>
    <w:rsid w:val="009B25E4"/>
    <w:rsid w:val="009B2EB8"/>
    <w:rsid w:val="009B324E"/>
    <w:rsid w:val="009B36D9"/>
    <w:rsid w:val="009B39BE"/>
    <w:rsid w:val="009B3F9F"/>
    <w:rsid w:val="009B433A"/>
    <w:rsid w:val="009B469B"/>
    <w:rsid w:val="009B46C9"/>
    <w:rsid w:val="009B49F7"/>
    <w:rsid w:val="009B4B92"/>
    <w:rsid w:val="009B5093"/>
    <w:rsid w:val="009B50CA"/>
    <w:rsid w:val="009B59C5"/>
    <w:rsid w:val="009B6073"/>
    <w:rsid w:val="009B64F8"/>
    <w:rsid w:val="009B65D5"/>
    <w:rsid w:val="009B6F91"/>
    <w:rsid w:val="009B7141"/>
    <w:rsid w:val="009B7522"/>
    <w:rsid w:val="009B75E1"/>
    <w:rsid w:val="009B7737"/>
    <w:rsid w:val="009B7920"/>
    <w:rsid w:val="009B79E2"/>
    <w:rsid w:val="009B7E40"/>
    <w:rsid w:val="009C078F"/>
    <w:rsid w:val="009C0AB2"/>
    <w:rsid w:val="009C152B"/>
    <w:rsid w:val="009C16A1"/>
    <w:rsid w:val="009C17E4"/>
    <w:rsid w:val="009C1B30"/>
    <w:rsid w:val="009C1DD8"/>
    <w:rsid w:val="009C20DF"/>
    <w:rsid w:val="009C20EB"/>
    <w:rsid w:val="009C2560"/>
    <w:rsid w:val="009C2C64"/>
    <w:rsid w:val="009C3535"/>
    <w:rsid w:val="009C35CB"/>
    <w:rsid w:val="009C3AC2"/>
    <w:rsid w:val="009C3B8E"/>
    <w:rsid w:val="009C3BA5"/>
    <w:rsid w:val="009C3E79"/>
    <w:rsid w:val="009C3FA8"/>
    <w:rsid w:val="009C4668"/>
    <w:rsid w:val="009C46AD"/>
    <w:rsid w:val="009C4C66"/>
    <w:rsid w:val="009C52E7"/>
    <w:rsid w:val="009C5669"/>
    <w:rsid w:val="009C56B7"/>
    <w:rsid w:val="009C5A27"/>
    <w:rsid w:val="009C5F93"/>
    <w:rsid w:val="009C63EE"/>
    <w:rsid w:val="009C6583"/>
    <w:rsid w:val="009C685C"/>
    <w:rsid w:val="009C69FF"/>
    <w:rsid w:val="009C6AAF"/>
    <w:rsid w:val="009C6CC8"/>
    <w:rsid w:val="009C706E"/>
    <w:rsid w:val="009C7355"/>
    <w:rsid w:val="009C7394"/>
    <w:rsid w:val="009C753E"/>
    <w:rsid w:val="009C7F9C"/>
    <w:rsid w:val="009D006F"/>
    <w:rsid w:val="009D0209"/>
    <w:rsid w:val="009D07CF"/>
    <w:rsid w:val="009D0F3E"/>
    <w:rsid w:val="009D134B"/>
    <w:rsid w:val="009D1450"/>
    <w:rsid w:val="009D1BE1"/>
    <w:rsid w:val="009D1DE0"/>
    <w:rsid w:val="009D1FA0"/>
    <w:rsid w:val="009D215F"/>
    <w:rsid w:val="009D27CF"/>
    <w:rsid w:val="009D283F"/>
    <w:rsid w:val="009D2B35"/>
    <w:rsid w:val="009D2C48"/>
    <w:rsid w:val="009D2D13"/>
    <w:rsid w:val="009D3223"/>
    <w:rsid w:val="009D3382"/>
    <w:rsid w:val="009D3AC6"/>
    <w:rsid w:val="009D3B14"/>
    <w:rsid w:val="009D3CF1"/>
    <w:rsid w:val="009D3E51"/>
    <w:rsid w:val="009D3F83"/>
    <w:rsid w:val="009D43D5"/>
    <w:rsid w:val="009D47A2"/>
    <w:rsid w:val="009D47F4"/>
    <w:rsid w:val="009D4890"/>
    <w:rsid w:val="009D4DF5"/>
    <w:rsid w:val="009D5218"/>
    <w:rsid w:val="009D546E"/>
    <w:rsid w:val="009D5BE0"/>
    <w:rsid w:val="009D5CDC"/>
    <w:rsid w:val="009D5D79"/>
    <w:rsid w:val="009D627E"/>
    <w:rsid w:val="009D641F"/>
    <w:rsid w:val="009D64BE"/>
    <w:rsid w:val="009D662C"/>
    <w:rsid w:val="009D676D"/>
    <w:rsid w:val="009D6797"/>
    <w:rsid w:val="009D6B89"/>
    <w:rsid w:val="009D6F50"/>
    <w:rsid w:val="009D721E"/>
    <w:rsid w:val="009D7243"/>
    <w:rsid w:val="009D7681"/>
    <w:rsid w:val="009D7ABC"/>
    <w:rsid w:val="009D7CF0"/>
    <w:rsid w:val="009D7D96"/>
    <w:rsid w:val="009D7ECA"/>
    <w:rsid w:val="009E01E1"/>
    <w:rsid w:val="009E0533"/>
    <w:rsid w:val="009E07EE"/>
    <w:rsid w:val="009E08A1"/>
    <w:rsid w:val="009E0D7E"/>
    <w:rsid w:val="009E0F53"/>
    <w:rsid w:val="009E143E"/>
    <w:rsid w:val="009E148F"/>
    <w:rsid w:val="009E1CBE"/>
    <w:rsid w:val="009E1E21"/>
    <w:rsid w:val="009E2091"/>
    <w:rsid w:val="009E2A1A"/>
    <w:rsid w:val="009E2E50"/>
    <w:rsid w:val="009E3311"/>
    <w:rsid w:val="009E33B8"/>
    <w:rsid w:val="009E347B"/>
    <w:rsid w:val="009E3520"/>
    <w:rsid w:val="009E384B"/>
    <w:rsid w:val="009E394C"/>
    <w:rsid w:val="009E45BD"/>
    <w:rsid w:val="009E4713"/>
    <w:rsid w:val="009E4E81"/>
    <w:rsid w:val="009E5059"/>
    <w:rsid w:val="009E583B"/>
    <w:rsid w:val="009E5C4C"/>
    <w:rsid w:val="009E5CE6"/>
    <w:rsid w:val="009E5E0C"/>
    <w:rsid w:val="009E660F"/>
    <w:rsid w:val="009E68AC"/>
    <w:rsid w:val="009E6C73"/>
    <w:rsid w:val="009E6F4B"/>
    <w:rsid w:val="009E75F3"/>
    <w:rsid w:val="009E7C1F"/>
    <w:rsid w:val="009E7DC3"/>
    <w:rsid w:val="009F00A1"/>
    <w:rsid w:val="009F01A9"/>
    <w:rsid w:val="009F03E4"/>
    <w:rsid w:val="009F0413"/>
    <w:rsid w:val="009F04BB"/>
    <w:rsid w:val="009F05AE"/>
    <w:rsid w:val="009F08E8"/>
    <w:rsid w:val="009F0A52"/>
    <w:rsid w:val="009F0BB3"/>
    <w:rsid w:val="009F0C4D"/>
    <w:rsid w:val="009F0CAA"/>
    <w:rsid w:val="009F115C"/>
    <w:rsid w:val="009F138F"/>
    <w:rsid w:val="009F152A"/>
    <w:rsid w:val="009F15BD"/>
    <w:rsid w:val="009F1B10"/>
    <w:rsid w:val="009F1CA9"/>
    <w:rsid w:val="009F1CBB"/>
    <w:rsid w:val="009F1FD3"/>
    <w:rsid w:val="009F2465"/>
    <w:rsid w:val="009F310F"/>
    <w:rsid w:val="009F315F"/>
    <w:rsid w:val="009F31D9"/>
    <w:rsid w:val="009F3344"/>
    <w:rsid w:val="009F3530"/>
    <w:rsid w:val="009F3960"/>
    <w:rsid w:val="009F3A80"/>
    <w:rsid w:val="009F3D05"/>
    <w:rsid w:val="009F3EC6"/>
    <w:rsid w:val="009F3EED"/>
    <w:rsid w:val="009F4201"/>
    <w:rsid w:val="009F4426"/>
    <w:rsid w:val="009F45D3"/>
    <w:rsid w:val="009F495E"/>
    <w:rsid w:val="009F4B43"/>
    <w:rsid w:val="009F4E62"/>
    <w:rsid w:val="009F53D6"/>
    <w:rsid w:val="009F5FB2"/>
    <w:rsid w:val="009F6715"/>
    <w:rsid w:val="009F675B"/>
    <w:rsid w:val="009F6B63"/>
    <w:rsid w:val="009F6B82"/>
    <w:rsid w:val="009F6C1A"/>
    <w:rsid w:val="009F6EE6"/>
    <w:rsid w:val="009F70D3"/>
    <w:rsid w:val="009F7255"/>
    <w:rsid w:val="009F7DDC"/>
    <w:rsid w:val="00A0065A"/>
    <w:rsid w:val="00A00821"/>
    <w:rsid w:val="00A00D22"/>
    <w:rsid w:val="00A00EF1"/>
    <w:rsid w:val="00A010C2"/>
    <w:rsid w:val="00A01302"/>
    <w:rsid w:val="00A0131F"/>
    <w:rsid w:val="00A01457"/>
    <w:rsid w:val="00A01EE4"/>
    <w:rsid w:val="00A0230A"/>
    <w:rsid w:val="00A023A0"/>
    <w:rsid w:val="00A02915"/>
    <w:rsid w:val="00A02BC1"/>
    <w:rsid w:val="00A02BC2"/>
    <w:rsid w:val="00A02C6C"/>
    <w:rsid w:val="00A02CC1"/>
    <w:rsid w:val="00A03018"/>
    <w:rsid w:val="00A03200"/>
    <w:rsid w:val="00A0358D"/>
    <w:rsid w:val="00A035B6"/>
    <w:rsid w:val="00A03926"/>
    <w:rsid w:val="00A03C2C"/>
    <w:rsid w:val="00A03E9F"/>
    <w:rsid w:val="00A03FC5"/>
    <w:rsid w:val="00A0421E"/>
    <w:rsid w:val="00A042C7"/>
    <w:rsid w:val="00A04359"/>
    <w:rsid w:val="00A044EC"/>
    <w:rsid w:val="00A047E5"/>
    <w:rsid w:val="00A04C9F"/>
    <w:rsid w:val="00A050ED"/>
    <w:rsid w:val="00A051B4"/>
    <w:rsid w:val="00A05926"/>
    <w:rsid w:val="00A05A6C"/>
    <w:rsid w:val="00A05B66"/>
    <w:rsid w:val="00A06571"/>
    <w:rsid w:val="00A065A4"/>
    <w:rsid w:val="00A06A2D"/>
    <w:rsid w:val="00A06B4A"/>
    <w:rsid w:val="00A06B9E"/>
    <w:rsid w:val="00A07970"/>
    <w:rsid w:val="00A07B50"/>
    <w:rsid w:val="00A102A1"/>
    <w:rsid w:val="00A10E74"/>
    <w:rsid w:val="00A110E1"/>
    <w:rsid w:val="00A1134D"/>
    <w:rsid w:val="00A11431"/>
    <w:rsid w:val="00A115D3"/>
    <w:rsid w:val="00A116A6"/>
    <w:rsid w:val="00A119E3"/>
    <w:rsid w:val="00A11B31"/>
    <w:rsid w:val="00A11F84"/>
    <w:rsid w:val="00A1235D"/>
    <w:rsid w:val="00A1284C"/>
    <w:rsid w:val="00A12915"/>
    <w:rsid w:val="00A12ABD"/>
    <w:rsid w:val="00A12C27"/>
    <w:rsid w:val="00A12EE8"/>
    <w:rsid w:val="00A13695"/>
    <w:rsid w:val="00A13826"/>
    <w:rsid w:val="00A1396C"/>
    <w:rsid w:val="00A1399F"/>
    <w:rsid w:val="00A14664"/>
    <w:rsid w:val="00A147E2"/>
    <w:rsid w:val="00A14925"/>
    <w:rsid w:val="00A14942"/>
    <w:rsid w:val="00A14C32"/>
    <w:rsid w:val="00A14C61"/>
    <w:rsid w:val="00A14DB0"/>
    <w:rsid w:val="00A15326"/>
    <w:rsid w:val="00A15678"/>
    <w:rsid w:val="00A15739"/>
    <w:rsid w:val="00A1583D"/>
    <w:rsid w:val="00A15840"/>
    <w:rsid w:val="00A15A19"/>
    <w:rsid w:val="00A15C4B"/>
    <w:rsid w:val="00A15F6F"/>
    <w:rsid w:val="00A166B6"/>
    <w:rsid w:val="00A167F8"/>
    <w:rsid w:val="00A1698D"/>
    <w:rsid w:val="00A169A0"/>
    <w:rsid w:val="00A16A2D"/>
    <w:rsid w:val="00A16F2A"/>
    <w:rsid w:val="00A17191"/>
    <w:rsid w:val="00A17806"/>
    <w:rsid w:val="00A179A6"/>
    <w:rsid w:val="00A179C4"/>
    <w:rsid w:val="00A17A57"/>
    <w:rsid w:val="00A17A78"/>
    <w:rsid w:val="00A20CE6"/>
    <w:rsid w:val="00A20EA3"/>
    <w:rsid w:val="00A2160D"/>
    <w:rsid w:val="00A21924"/>
    <w:rsid w:val="00A21FFA"/>
    <w:rsid w:val="00A220ED"/>
    <w:rsid w:val="00A224F4"/>
    <w:rsid w:val="00A2279B"/>
    <w:rsid w:val="00A228D0"/>
    <w:rsid w:val="00A22ADA"/>
    <w:rsid w:val="00A22C7F"/>
    <w:rsid w:val="00A23028"/>
    <w:rsid w:val="00A231B1"/>
    <w:rsid w:val="00A2391D"/>
    <w:rsid w:val="00A23B5B"/>
    <w:rsid w:val="00A23EB3"/>
    <w:rsid w:val="00A24051"/>
    <w:rsid w:val="00A2432C"/>
    <w:rsid w:val="00A24422"/>
    <w:rsid w:val="00A244A5"/>
    <w:rsid w:val="00A2459C"/>
    <w:rsid w:val="00A24CF4"/>
    <w:rsid w:val="00A24E71"/>
    <w:rsid w:val="00A24EF5"/>
    <w:rsid w:val="00A24F0A"/>
    <w:rsid w:val="00A2558E"/>
    <w:rsid w:val="00A25D8A"/>
    <w:rsid w:val="00A26218"/>
    <w:rsid w:val="00A26366"/>
    <w:rsid w:val="00A26879"/>
    <w:rsid w:val="00A26A00"/>
    <w:rsid w:val="00A26D29"/>
    <w:rsid w:val="00A26F76"/>
    <w:rsid w:val="00A27541"/>
    <w:rsid w:val="00A27624"/>
    <w:rsid w:val="00A2769F"/>
    <w:rsid w:val="00A2776D"/>
    <w:rsid w:val="00A27C9D"/>
    <w:rsid w:val="00A30725"/>
    <w:rsid w:val="00A30A1F"/>
    <w:rsid w:val="00A30CC7"/>
    <w:rsid w:val="00A30E0D"/>
    <w:rsid w:val="00A30F3C"/>
    <w:rsid w:val="00A31100"/>
    <w:rsid w:val="00A31AC4"/>
    <w:rsid w:val="00A31D71"/>
    <w:rsid w:val="00A3240D"/>
    <w:rsid w:val="00A32998"/>
    <w:rsid w:val="00A32C6E"/>
    <w:rsid w:val="00A337C9"/>
    <w:rsid w:val="00A33965"/>
    <w:rsid w:val="00A341DD"/>
    <w:rsid w:val="00A34873"/>
    <w:rsid w:val="00A3490E"/>
    <w:rsid w:val="00A34B8D"/>
    <w:rsid w:val="00A34D90"/>
    <w:rsid w:val="00A351F8"/>
    <w:rsid w:val="00A35227"/>
    <w:rsid w:val="00A352F3"/>
    <w:rsid w:val="00A354AB"/>
    <w:rsid w:val="00A354E0"/>
    <w:rsid w:val="00A35730"/>
    <w:rsid w:val="00A35A1C"/>
    <w:rsid w:val="00A35D97"/>
    <w:rsid w:val="00A3671C"/>
    <w:rsid w:val="00A367CF"/>
    <w:rsid w:val="00A36B3A"/>
    <w:rsid w:val="00A36D4C"/>
    <w:rsid w:val="00A36E32"/>
    <w:rsid w:val="00A36FC7"/>
    <w:rsid w:val="00A374B0"/>
    <w:rsid w:val="00A375DD"/>
    <w:rsid w:val="00A406EA"/>
    <w:rsid w:val="00A40999"/>
    <w:rsid w:val="00A40AEC"/>
    <w:rsid w:val="00A40CAE"/>
    <w:rsid w:val="00A40DCA"/>
    <w:rsid w:val="00A412A2"/>
    <w:rsid w:val="00A414F0"/>
    <w:rsid w:val="00A415CF"/>
    <w:rsid w:val="00A4193E"/>
    <w:rsid w:val="00A41FB8"/>
    <w:rsid w:val="00A420F8"/>
    <w:rsid w:val="00A42293"/>
    <w:rsid w:val="00A42837"/>
    <w:rsid w:val="00A42A45"/>
    <w:rsid w:val="00A42EB4"/>
    <w:rsid w:val="00A42FC0"/>
    <w:rsid w:val="00A43394"/>
    <w:rsid w:val="00A43973"/>
    <w:rsid w:val="00A43AEC"/>
    <w:rsid w:val="00A44A67"/>
    <w:rsid w:val="00A45344"/>
    <w:rsid w:val="00A45368"/>
    <w:rsid w:val="00A4591F"/>
    <w:rsid w:val="00A45B51"/>
    <w:rsid w:val="00A45DA7"/>
    <w:rsid w:val="00A46323"/>
    <w:rsid w:val="00A46466"/>
    <w:rsid w:val="00A46487"/>
    <w:rsid w:val="00A46769"/>
    <w:rsid w:val="00A46911"/>
    <w:rsid w:val="00A46B54"/>
    <w:rsid w:val="00A46C57"/>
    <w:rsid w:val="00A470B0"/>
    <w:rsid w:val="00A4721C"/>
    <w:rsid w:val="00A4771D"/>
    <w:rsid w:val="00A47954"/>
    <w:rsid w:val="00A47C54"/>
    <w:rsid w:val="00A5038F"/>
    <w:rsid w:val="00A506A0"/>
    <w:rsid w:val="00A509B0"/>
    <w:rsid w:val="00A509EC"/>
    <w:rsid w:val="00A50CBB"/>
    <w:rsid w:val="00A51028"/>
    <w:rsid w:val="00A51129"/>
    <w:rsid w:val="00A512F8"/>
    <w:rsid w:val="00A5136C"/>
    <w:rsid w:val="00A514A6"/>
    <w:rsid w:val="00A51E45"/>
    <w:rsid w:val="00A5211C"/>
    <w:rsid w:val="00A5236D"/>
    <w:rsid w:val="00A525A3"/>
    <w:rsid w:val="00A52A75"/>
    <w:rsid w:val="00A52B80"/>
    <w:rsid w:val="00A53504"/>
    <w:rsid w:val="00A535FF"/>
    <w:rsid w:val="00A5363C"/>
    <w:rsid w:val="00A5399A"/>
    <w:rsid w:val="00A53D8D"/>
    <w:rsid w:val="00A540F0"/>
    <w:rsid w:val="00A54206"/>
    <w:rsid w:val="00A54A60"/>
    <w:rsid w:val="00A54B28"/>
    <w:rsid w:val="00A54C8F"/>
    <w:rsid w:val="00A54F32"/>
    <w:rsid w:val="00A55200"/>
    <w:rsid w:val="00A55259"/>
    <w:rsid w:val="00A558A5"/>
    <w:rsid w:val="00A55B5D"/>
    <w:rsid w:val="00A55F95"/>
    <w:rsid w:val="00A5628E"/>
    <w:rsid w:val="00A563D7"/>
    <w:rsid w:val="00A563F3"/>
    <w:rsid w:val="00A56C42"/>
    <w:rsid w:val="00A5793A"/>
    <w:rsid w:val="00A57A2F"/>
    <w:rsid w:val="00A57B76"/>
    <w:rsid w:val="00A57C8D"/>
    <w:rsid w:val="00A6021C"/>
    <w:rsid w:val="00A60253"/>
    <w:rsid w:val="00A60325"/>
    <w:rsid w:val="00A60587"/>
    <w:rsid w:val="00A608D9"/>
    <w:rsid w:val="00A60D4E"/>
    <w:rsid w:val="00A60F7E"/>
    <w:rsid w:val="00A61080"/>
    <w:rsid w:val="00A61083"/>
    <w:rsid w:val="00A61136"/>
    <w:rsid w:val="00A62059"/>
    <w:rsid w:val="00A62F67"/>
    <w:rsid w:val="00A63366"/>
    <w:rsid w:val="00A63CAB"/>
    <w:rsid w:val="00A65366"/>
    <w:rsid w:val="00A654F4"/>
    <w:rsid w:val="00A659FB"/>
    <w:rsid w:val="00A65C0C"/>
    <w:rsid w:val="00A65FB5"/>
    <w:rsid w:val="00A662E4"/>
    <w:rsid w:val="00A6641D"/>
    <w:rsid w:val="00A668CE"/>
    <w:rsid w:val="00A67264"/>
    <w:rsid w:val="00A6744F"/>
    <w:rsid w:val="00A67723"/>
    <w:rsid w:val="00A67A02"/>
    <w:rsid w:val="00A67CA9"/>
    <w:rsid w:val="00A67F02"/>
    <w:rsid w:val="00A7082F"/>
    <w:rsid w:val="00A7094E"/>
    <w:rsid w:val="00A70D16"/>
    <w:rsid w:val="00A70DA3"/>
    <w:rsid w:val="00A70F80"/>
    <w:rsid w:val="00A712DC"/>
    <w:rsid w:val="00A714EF"/>
    <w:rsid w:val="00A719E0"/>
    <w:rsid w:val="00A71BC1"/>
    <w:rsid w:val="00A71BF5"/>
    <w:rsid w:val="00A72294"/>
    <w:rsid w:val="00A7249C"/>
    <w:rsid w:val="00A724A8"/>
    <w:rsid w:val="00A7251D"/>
    <w:rsid w:val="00A72843"/>
    <w:rsid w:val="00A729D3"/>
    <w:rsid w:val="00A72BFD"/>
    <w:rsid w:val="00A72D7C"/>
    <w:rsid w:val="00A72E2F"/>
    <w:rsid w:val="00A72F83"/>
    <w:rsid w:val="00A7308D"/>
    <w:rsid w:val="00A7322D"/>
    <w:rsid w:val="00A737F9"/>
    <w:rsid w:val="00A73DA5"/>
    <w:rsid w:val="00A74432"/>
    <w:rsid w:val="00A74831"/>
    <w:rsid w:val="00A748DA"/>
    <w:rsid w:val="00A749C8"/>
    <w:rsid w:val="00A753C9"/>
    <w:rsid w:val="00A7547B"/>
    <w:rsid w:val="00A756BE"/>
    <w:rsid w:val="00A7609B"/>
    <w:rsid w:val="00A76417"/>
    <w:rsid w:val="00A765AF"/>
    <w:rsid w:val="00A766B3"/>
    <w:rsid w:val="00A76B18"/>
    <w:rsid w:val="00A76C82"/>
    <w:rsid w:val="00A7738F"/>
    <w:rsid w:val="00A7748C"/>
    <w:rsid w:val="00A77743"/>
    <w:rsid w:val="00A77BEB"/>
    <w:rsid w:val="00A77D4D"/>
    <w:rsid w:val="00A77EB9"/>
    <w:rsid w:val="00A804EC"/>
    <w:rsid w:val="00A8059C"/>
    <w:rsid w:val="00A8089A"/>
    <w:rsid w:val="00A810C2"/>
    <w:rsid w:val="00A81134"/>
    <w:rsid w:val="00A814A0"/>
    <w:rsid w:val="00A81C26"/>
    <w:rsid w:val="00A821A7"/>
    <w:rsid w:val="00A82343"/>
    <w:rsid w:val="00A8257E"/>
    <w:rsid w:val="00A8276B"/>
    <w:rsid w:val="00A8299E"/>
    <w:rsid w:val="00A82BB1"/>
    <w:rsid w:val="00A8306A"/>
    <w:rsid w:val="00A832EF"/>
    <w:rsid w:val="00A835A0"/>
    <w:rsid w:val="00A83761"/>
    <w:rsid w:val="00A837BE"/>
    <w:rsid w:val="00A83D3B"/>
    <w:rsid w:val="00A83D68"/>
    <w:rsid w:val="00A83FCB"/>
    <w:rsid w:val="00A8404D"/>
    <w:rsid w:val="00A840EC"/>
    <w:rsid w:val="00A84401"/>
    <w:rsid w:val="00A84461"/>
    <w:rsid w:val="00A844E2"/>
    <w:rsid w:val="00A84A3B"/>
    <w:rsid w:val="00A84F2C"/>
    <w:rsid w:val="00A85374"/>
    <w:rsid w:val="00A853FA"/>
    <w:rsid w:val="00A85694"/>
    <w:rsid w:val="00A85889"/>
    <w:rsid w:val="00A8588D"/>
    <w:rsid w:val="00A8593B"/>
    <w:rsid w:val="00A85BC0"/>
    <w:rsid w:val="00A85C5E"/>
    <w:rsid w:val="00A85E50"/>
    <w:rsid w:val="00A86356"/>
    <w:rsid w:val="00A86A5A"/>
    <w:rsid w:val="00A86B62"/>
    <w:rsid w:val="00A86DEC"/>
    <w:rsid w:val="00A876D5"/>
    <w:rsid w:val="00A87859"/>
    <w:rsid w:val="00A87CB7"/>
    <w:rsid w:val="00A87D50"/>
    <w:rsid w:val="00A87F19"/>
    <w:rsid w:val="00A90175"/>
    <w:rsid w:val="00A90282"/>
    <w:rsid w:val="00A902D3"/>
    <w:rsid w:val="00A90382"/>
    <w:rsid w:val="00A9058E"/>
    <w:rsid w:val="00A907F9"/>
    <w:rsid w:val="00A91079"/>
    <w:rsid w:val="00A912C9"/>
    <w:rsid w:val="00A912ED"/>
    <w:rsid w:val="00A91EF2"/>
    <w:rsid w:val="00A92676"/>
    <w:rsid w:val="00A92855"/>
    <w:rsid w:val="00A92ABF"/>
    <w:rsid w:val="00A92B74"/>
    <w:rsid w:val="00A92D5F"/>
    <w:rsid w:val="00A9313E"/>
    <w:rsid w:val="00A93230"/>
    <w:rsid w:val="00A9363D"/>
    <w:rsid w:val="00A936FC"/>
    <w:rsid w:val="00A93C1B"/>
    <w:rsid w:val="00A93FAA"/>
    <w:rsid w:val="00A94304"/>
    <w:rsid w:val="00A94398"/>
    <w:rsid w:val="00A943EB"/>
    <w:rsid w:val="00A943FC"/>
    <w:rsid w:val="00A946F6"/>
    <w:rsid w:val="00A9486B"/>
    <w:rsid w:val="00A94AF2"/>
    <w:rsid w:val="00A94DA4"/>
    <w:rsid w:val="00A95024"/>
    <w:rsid w:val="00A95204"/>
    <w:rsid w:val="00A9521F"/>
    <w:rsid w:val="00A9545B"/>
    <w:rsid w:val="00A9564B"/>
    <w:rsid w:val="00A9592B"/>
    <w:rsid w:val="00A95C2B"/>
    <w:rsid w:val="00A95D1B"/>
    <w:rsid w:val="00A95E2F"/>
    <w:rsid w:val="00A965F8"/>
    <w:rsid w:val="00A9718E"/>
    <w:rsid w:val="00A974A4"/>
    <w:rsid w:val="00A97C98"/>
    <w:rsid w:val="00A97D4D"/>
    <w:rsid w:val="00A97F96"/>
    <w:rsid w:val="00AA009A"/>
    <w:rsid w:val="00AA07E9"/>
    <w:rsid w:val="00AA0DC5"/>
    <w:rsid w:val="00AA1087"/>
    <w:rsid w:val="00AA1149"/>
    <w:rsid w:val="00AA1527"/>
    <w:rsid w:val="00AA188D"/>
    <w:rsid w:val="00AA1938"/>
    <w:rsid w:val="00AA1A53"/>
    <w:rsid w:val="00AA1DA4"/>
    <w:rsid w:val="00AA201D"/>
    <w:rsid w:val="00AA21CD"/>
    <w:rsid w:val="00AA2293"/>
    <w:rsid w:val="00AA267A"/>
    <w:rsid w:val="00AA2D2E"/>
    <w:rsid w:val="00AA2E52"/>
    <w:rsid w:val="00AA32E6"/>
    <w:rsid w:val="00AA3321"/>
    <w:rsid w:val="00AA3758"/>
    <w:rsid w:val="00AA38E1"/>
    <w:rsid w:val="00AA398C"/>
    <w:rsid w:val="00AA3A87"/>
    <w:rsid w:val="00AA3D0F"/>
    <w:rsid w:val="00AA417D"/>
    <w:rsid w:val="00AA4229"/>
    <w:rsid w:val="00AA42F6"/>
    <w:rsid w:val="00AA46CF"/>
    <w:rsid w:val="00AA4C3E"/>
    <w:rsid w:val="00AA52A0"/>
    <w:rsid w:val="00AA55B8"/>
    <w:rsid w:val="00AA5B93"/>
    <w:rsid w:val="00AA5EC5"/>
    <w:rsid w:val="00AA65A9"/>
    <w:rsid w:val="00AA6D05"/>
    <w:rsid w:val="00AA6D1D"/>
    <w:rsid w:val="00AA705A"/>
    <w:rsid w:val="00AA70A8"/>
    <w:rsid w:val="00AA7D5D"/>
    <w:rsid w:val="00AA7DD4"/>
    <w:rsid w:val="00AA7FDA"/>
    <w:rsid w:val="00AB029C"/>
    <w:rsid w:val="00AB037F"/>
    <w:rsid w:val="00AB06F4"/>
    <w:rsid w:val="00AB079B"/>
    <w:rsid w:val="00AB0882"/>
    <w:rsid w:val="00AB0A14"/>
    <w:rsid w:val="00AB105E"/>
    <w:rsid w:val="00AB1826"/>
    <w:rsid w:val="00AB1C2B"/>
    <w:rsid w:val="00AB1FCB"/>
    <w:rsid w:val="00AB2241"/>
    <w:rsid w:val="00AB27C3"/>
    <w:rsid w:val="00AB2D92"/>
    <w:rsid w:val="00AB333D"/>
    <w:rsid w:val="00AB35F5"/>
    <w:rsid w:val="00AB3829"/>
    <w:rsid w:val="00AB3997"/>
    <w:rsid w:val="00AB3A9F"/>
    <w:rsid w:val="00AB40C0"/>
    <w:rsid w:val="00AB41E4"/>
    <w:rsid w:val="00AB42C6"/>
    <w:rsid w:val="00AB4B08"/>
    <w:rsid w:val="00AB4BCE"/>
    <w:rsid w:val="00AB4C7B"/>
    <w:rsid w:val="00AB4EB4"/>
    <w:rsid w:val="00AB4F4B"/>
    <w:rsid w:val="00AB5457"/>
    <w:rsid w:val="00AB5AF6"/>
    <w:rsid w:val="00AB5D16"/>
    <w:rsid w:val="00AB5F11"/>
    <w:rsid w:val="00AB6046"/>
    <w:rsid w:val="00AB6198"/>
    <w:rsid w:val="00AB61B1"/>
    <w:rsid w:val="00AB6303"/>
    <w:rsid w:val="00AB6522"/>
    <w:rsid w:val="00AB6589"/>
    <w:rsid w:val="00AB6737"/>
    <w:rsid w:val="00AB67EA"/>
    <w:rsid w:val="00AB6857"/>
    <w:rsid w:val="00AB6868"/>
    <w:rsid w:val="00AB694F"/>
    <w:rsid w:val="00AB6AED"/>
    <w:rsid w:val="00AB6F61"/>
    <w:rsid w:val="00AB715F"/>
    <w:rsid w:val="00AB734E"/>
    <w:rsid w:val="00AB75B7"/>
    <w:rsid w:val="00AB7876"/>
    <w:rsid w:val="00AB7A5D"/>
    <w:rsid w:val="00AB7C6E"/>
    <w:rsid w:val="00AC00D5"/>
    <w:rsid w:val="00AC0289"/>
    <w:rsid w:val="00AC02AC"/>
    <w:rsid w:val="00AC0381"/>
    <w:rsid w:val="00AC04B4"/>
    <w:rsid w:val="00AC060A"/>
    <w:rsid w:val="00AC06D8"/>
    <w:rsid w:val="00AC0B3F"/>
    <w:rsid w:val="00AC0FAD"/>
    <w:rsid w:val="00AC12A1"/>
    <w:rsid w:val="00AC13A4"/>
    <w:rsid w:val="00AC199F"/>
    <w:rsid w:val="00AC1E34"/>
    <w:rsid w:val="00AC1F28"/>
    <w:rsid w:val="00AC259F"/>
    <w:rsid w:val="00AC3180"/>
    <w:rsid w:val="00AC325E"/>
    <w:rsid w:val="00AC37BF"/>
    <w:rsid w:val="00AC38EC"/>
    <w:rsid w:val="00AC3908"/>
    <w:rsid w:val="00AC408E"/>
    <w:rsid w:val="00AC417B"/>
    <w:rsid w:val="00AC4196"/>
    <w:rsid w:val="00AC466F"/>
    <w:rsid w:val="00AC504B"/>
    <w:rsid w:val="00AC5411"/>
    <w:rsid w:val="00AC55FF"/>
    <w:rsid w:val="00AC5656"/>
    <w:rsid w:val="00AC5EAB"/>
    <w:rsid w:val="00AC5EEB"/>
    <w:rsid w:val="00AC5F59"/>
    <w:rsid w:val="00AC6017"/>
    <w:rsid w:val="00AC60F9"/>
    <w:rsid w:val="00AC6397"/>
    <w:rsid w:val="00AC6BF2"/>
    <w:rsid w:val="00AC6D52"/>
    <w:rsid w:val="00AC7253"/>
    <w:rsid w:val="00AC77A9"/>
    <w:rsid w:val="00AC78FE"/>
    <w:rsid w:val="00AC7A59"/>
    <w:rsid w:val="00AC7ABF"/>
    <w:rsid w:val="00AC7E6F"/>
    <w:rsid w:val="00AD0765"/>
    <w:rsid w:val="00AD07B6"/>
    <w:rsid w:val="00AD0B75"/>
    <w:rsid w:val="00AD0C28"/>
    <w:rsid w:val="00AD0D9F"/>
    <w:rsid w:val="00AD1232"/>
    <w:rsid w:val="00AD16F6"/>
    <w:rsid w:val="00AD1B60"/>
    <w:rsid w:val="00AD1CEC"/>
    <w:rsid w:val="00AD1E49"/>
    <w:rsid w:val="00AD1FB4"/>
    <w:rsid w:val="00AD2B28"/>
    <w:rsid w:val="00AD2B54"/>
    <w:rsid w:val="00AD2FD8"/>
    <w:rsid w:val="00AD38EC"/>
    <w:rsid w:val="00AD3C33"/>
    <w:rsid w:val="00AD3EBC"/>
    <w:rsid w:val="00AD45CB"/>
    <w:rsid w:val="00AD4FC5"/>
    <w:rsid w:val="00AD52BD"/>
    <w:rsid w:val="00AD5739"/>
    <w:rsid w:val="00AD574E"/>
    <w:rsid w:val="00AD5A6A"/>
    <w:rsid w:val="00AD5B7F"/>
    <w:rsid w:val="00AD6196"/>
    <w:rsid w:val="00AD65CD"/>
    <w:rsid w:val="00AD6687"/>
    <w:rsid w:val="00AD6F9B"/>
    <w:rsid w:val="00AD7BE4"/>
    <w:rsid w:val="00AD7F9B"/>
    <w:rsid w:val="00AE0051"/>
    <w:rsid w:val="00AE01C6"/>
    <w:rsid w:val="00AE02DC"/>
    <w:rsid w:val="00AE037A"/>
    <w:rsid w:val="00AE03AF"/>
    <w:rsid w:val="00AE043C"/>
    <w:rsid w:val="00AE08B0"/>
    <w:rsid w:val="00AE0C80"/>
    <w:rsid w:val="00AE13A1"/>
    <w:rsid w:val="00AE1557"/>
    <w:rsid w:val="00AE15F2"/>
    <w:rsid w:val="00AE1E10"/>
    <w:rsid w:val="00AE1EA1"/>
    <w:rsid w:val="00AE2374"/>
    <w:rsid w:val="00AE25BC"/>
    <w:rsid w:val="00AE2AD5"/>
    <w:rsid w:val="00AE2EF6"/>
    <w:rsid w:val="00AE30D9"/>
    <w:rsid w:val="00AE34DF"/>
    <w:rsid w:val="00AE3526"/>
    <w:rsid w:val="00AE36BB"/>
    <w:rsid w:val="00AE37FD"/>
    <w:rsid w:val="00AE3D67"/>
    <w:rsid w:val="00AE4F01"/>
    <w:rsid w:val="00AE5244"/>
    <w:rsid w:val="00AE532B"/>
    <w:rsid w:val="00AE53EA"/>
    <w:rsid w:val="00AE5495"/>
    <w:rsid w:val="00AE5CF7"/>
    <w:rsid w:val="00AE5FAB"/>
    <w:rsid w:val="00AE60C6"/>
    <w:rsid w:val="00AE621D"/>
    <w:rsid w:val="00AE643F"/>
    <w:rsid w:val="00AE6B6F"/>
    <w:rsid w:val="00AE6ED0"/>
    <w:rsid w:val="00AE718B"/>
    <w:rsid w:val="00AE71F4"/>
    <w:rsid w:val="00AE7205"/>
    <w:rsid w:val="00AE720E"/>
    <w:rsid w:val="00AE76F2"/>
    <w:rsid w:val="00AE7756"/>
    <w:rsid w:val="00AE7C61"/>
    <w:rsid w:val="00AE7F7A"/>
    <w:rsid w:val="00AE7FB0"/>
    <w:rsid w:val="00AF0073"/>
    <w:rsid w:val="00AF067D"/>
    <w:rsid w:val="00AF0B94"/>
    <w:rsid w:val="00AF0BB9"/>
    <w:rsid w:val="00AF0BE0"/>
    <w:rsid w:val="00AF0CB7"/>
    <w:rsid w:val="00AF0DC4"/>
    <w:rsid w:val="00AF1137"/>
    <w:rsid w:val="00AF1367"/>
    <w:rsid w:val="00AF178A"/>
    <w:rsid w:val="00AF224E"/>
    <w:rsid w:val="00AF25CD"/>
    <w:rsid w:val="00AF2632"/>
    <w:rsid w:val="00AF2952"/>
    <w:rsid w:val="00AF297D"/>
    <w:rsid w:val="00AF2984"/>
    <w:rsid w:val="00AF298D"/>
    <w:rsid w:val="00AF2E23"/>
    <w:rsid w:val="00AF2E61"/>
    <w:rsid w:val="00AF3335"/>
    <w:rsid w:val="00AF33EA"/>
    <w:rsid w:val="00AF3449"/>
    <w:rsid w:val="00AF3746"/>
    <w:rsid w:val="00AF38C8"/>
    <w:rsid w:val="00AF3BBE"/>
    <w:rsid w:val="00AF3C3D"/>
    <w:rsid w:val="00AF48BC"/>
    <w:rsid w:val="00AF4EB1"/>
    <w:rsid w:val="00AF589F"/>
    <w:rsid w:val="00AF5D38"/>
    <w:rsid w:val="00AF6472"/>
    <w:rsid w:val="00AF6743"/>
    <w:rsid w:val="00AF6EC6"/>
    <w:rsid w:val="00AF728C"/>
    <w:rsid w:val="00AF762B"/>
    <w:rsid w:val="00AF76A6"/>
    <w:rsid w:val="00AF76E8"/>
    <w:rsid w:val="00AF792C"/>
    <w:rsid w:val="00AF7A20"/>
    <w:rsid w:val="00AF7B6A"/>
    <w:rsid w:val="00AF7BA8"/>
    <w:rsid w:val="00AF7C20"/>
    <w:rsid w:val="00AF7C4B"/>
    <w:rsid w:val="00B00E29"/>
    <w:rsid w:val="00B015A1"/>
    <w:rsid w:val="00B01AD0"/>
    <w:rsid w:val="00B01F61"/>
    <w:rsid w:val="00B021A6"/>
    <w:rsid w:val="00B022CD"/>
    <w:rsid w:val="00B024EA"/>
    <w:rsid w:val="00B02731"/>
    <w:rsid w:val="00B02D27"/>
    <w:rsid w:val="00B03082"/>
    <w:rsid w:val="00B0314C"/>
    <w:rsid w:val="00B0324D"/>
    <w:rsid w:val="00B03C93"/>
    <w:rsid w:val="00B03CCA"/>
    <w:rsid w:val="00B03FB5"/>
    <w:rsid w:val="00B040A4"/>
    <w:rsid w:val="00B040F1"/>
    <w:rsid w:val="00B0412B"/>
    <w:rsid w:val="00B041D7"/>
    <w:rsid w:val="00B04427"/>
    <w:rsid w:val="00B0446A"/>
    <w:rsid w:val="00B04535"/>
    <w:rsid w:val="00B04E7D"/>
    <w:rsid w:val="00B0532F"/>
    <w:rsid w:val="00B053F2"/>
    <w:rsid w:val="00B05713"/>
    <w:rsid w:val="00B057D7"/>
    <w:rsid w:val="00B058A6"/>
    <w:rsid w:val="00B0603E"/>
    <w:rsid w:val="00B062AE"/>
    <w:rsid w:val="00B062D1"/>
    <w:rsid w:val="00B063F1"/>
    <w:rsid w:val="00B06624"/>
    <w:rsid w:val="00B06986"/>
    <w:rsid w:val="00B06B61"/>
    <w:rsid w:val="00B071DE"/>
    <w:rsid w:val="00B0771B"/>
    <w:rsid w:val="00B1004F"/>
    <w:rsid w:val="00B10265"/>
    <w:rsid w:val="00B1066D"/>
    <w:rsid w:val="00B10697"/>
    <w:rsid w:val="00B1080A"/>
    <w:rsid w:val="00B108C1"/>
    <w:rsid w:val="00B10D67"/>
    <w:rsid w:val="00B10EC5"/>
    <w:rsid w:val="00B114C5"/>
    <w:rsid w:val="00B114E8"/>
    <w:rsid w:val="00B117F3"/>
    <w:rsid w:val="00B11A92"/>
    <w:rsid w:val="00B11A99"/>
    <w:rsid w:val="00B11C49"/>
    <w:rsid w:val="00B11D1F"/>
    <w:rsid w:val="00B11EEE"/>
    <w:rsid w:val="00B122A0"/>
    <w:rsid w:val="00B1247B"/>
    <w:rsid w:val="00B1252E"/>
    <w:rsid w:val="00B126BB"/>
    <w:rsid w:val="00B131C1"/>
    <w:rsid w:val="00B134BC"/>
    <w:rsid w:val="00B1418D"/>
    <w:rsid w:val="00B14619"/>
    <w:rsid w:val="00B1466D"/>
    <w:rsid w:val="00B149D7"/>
    <w:rsid w:val="00B15B77"/>
    <w:rsid w:val="00B164BF"/>
    <w:rsid w:val="00B16753"/>
    <w:rsid w:val="00B1730B"/>
    <w:rsid w:val="00B1731A"/>
    <w:rsid w:val="00B173F2"/>
    <w:rsid w:val="00B17510"/>
    <w:rsid w:val="00B177C9"/>
    <w:rsid w:val="00B17968"/>
    <w:rsid w:val="00B17D1C"/>
    <w:rsid w:val="00B17D1F"/>
    <w:rsid w:val="00B17E65"/>
    <w:rsid w:val="00B209EF"/>
    <w:rsid w:val="00B20B74"/>
    <w:rsid w:val="00B20CA0"/>
    <w:rsid w:val="00B21092"/>
    <w:rsid w:val="00B211B6"/>
    <w:rsid w:val="00B211D8"/>
    <w:rsid w:val="00B21200"/>
    <w:rsid w:val="00B21372"/>
    <w:rsid w:val="00B2141E"/>
    <w:rsid w:val="00B215E2"/>
    <w:rsid w:val="00B2191F"/>
    <w:rsid w:val="00B21982"/>
    <w:rsid w:val="00B21AB7"/>
    <w:rsid w:val="00B21ABA"/>
    <w:rsid w:val="00B21AD7"/>
    <w:rsid w:val="00B21BD8"/>
    <w:rsid w:val="00B21CFD"/>
    <w:rsid w:val="00B22623"/>
    <w:rsid w:val="00B23016"/>
    <w:rsid w:val="00B2320C"/>
    <w:rsid w:val="00B23353"/>
    <w:rsid w:val="00B23513"/>
    <w:rsid w:val="00B23E04"/>
    <w:rsid w:val="00B24039"/>
    <w:rsid w:val="00B24119"/>
    <w:rsid w:val="00B241E4"/>
    <w:rsid w:val="00B2426E"/>
    <w:rsid w:val="00B24316"/>
    <w:rsid w:val="00B24552"/>
    <w:rsid w:val="00B2477A"/>
    <w:rsid w:val="00B24D23"/>
    <w:rsid w:val="00B2551A"/>
    <w:rsid w:val="00B256A6"/>
    <w:rsid w:val="00B25A04"/>
    <w:rsid w:val="00B25B33"/>
    <w:rsid w:val="00B2617F"/>
    <w:rsid w:val="00B2644F"/>
    <w:rsid w:val="00B266D8"/>
    <w:rsid w:val="00B26757"/>
    <w:rsid w:val="00B27531"/>
    <w:rsid w:val="00B275D3"/>
    <w:rsid w:val="00B2769B"/>
    <w:rsid w:val="00B27949"/>
    <w:rsid w:val="00B27ABF"/>
    <w:rsid w:val="00B27B10"/>
    <w:rsid w:val="00B27D11"/>
    <w:rsid w:val="00B27D6D"/>
    <w:rsid w:val="00B27F45"/>
    <w:rsid w:val="00B27F94"/>
    <w:rsid w:val="00B302A3"/>
    <w:rsid w:val="00B30512"/>
    <w:rsid w:val="00B30A44"/>
    <w:rsid w:val="00B30AFB"/>
    <w:rsid w:val="00B30B55"/>
    <w:rsid w:val="00B313B8"/>
    <w:rsid w:val="00B313CC"/>
    <w:rsid w:val="00B31715"/>
    <w:rsid w:val="00B317E3"/>
    <w:rsid w:val="00B31AEC"/>
    <w:rsid w:val="00B31BDF"/>
    <w:rsid w:val="00B31D2F"/>
    <w:rsid w:val="00B31E2C"/>
    <w:rsid w:val="00B323D0"/>
    <w:rsid w:val="00B3294E"/>
    <w:rsid w:val="00B32A29"/>
    <w:rsid w:val="00B32AD8"/>
    <w:rsid w:val="00B33014"/>
    <w:rsid w:val="00B330B6"/>
    <w:rsid w:val="00B33266"/>
    <w:rsid w:val="00B33458"/>
    <w:rsid w:val="00B3361E"/>
    <w:rsid w:val="00B33B71"/>
    <w:rsid w:val="00B33BB6"/>
    <w:rsid w:val="00B33BC2"/>
    <w:rsid w:val="00B34045"/>
    <w:rsid w:val="00B34274"/>
    <w:rsid w:val="00B34D63"/>
    <w:rsid w:val="00B34F5E"/>
    <w:rsid w:val="00B351B3"/>
    <w:rsid w:val="00B35282"/>
    <w:rsid w:val="00B3546A"/>
    <w:rsid w:val="00B3564D"/>
    <w:rsid w:val="00B35BD7"/>
    <w:rsid w:val="00B3613C"/>
    <w:rsid w:val="00B3658A"/>
    <w:rsid w:val="00B3698C"/>
    <w:rsid w:val="00B36BBF"/>
    <w:rsid w:val="00B37582"/>
    <w:rsid w:val="00B3786C"/>
    <w:rsid w:val="00B37BBE"/>
    <w:rsid w:val="00B37DD9"/>
    <w:rsid w:val="00B40175"/>
    <w:rsid w:val="00B40587"/>
    <w:rsid w:val="00B408F8"/>
    <w:rsid w:val="00B40FAE"/>
    <w:rsid w:val="00B4181D"/>
    <w:rsid w:val="00B41A1E"/>
    <w:rsid w:val="00B41BDF"/>
    <w:rsid w:val="00B41C4B"/>
    <w:rsid w:val="00B41DBE"/>
    <w:rsid w:val="00B4222B"/>
    <w:rsid w:val="00B42297"/>
    <w:rsid w:val="00B4250E"/>
    <w:rsid w:val="00B426FC"/>
    <w:rsid w:val="00B42738"/>
    <w:rsid w:val="00B427CA"/>
    <w:rsid w:val="00B428DD"/>
    <w:rsid w:val="00B42962"/>
    <w:rsid w:val="00B42DAC"/>
    <w:rsid w:val="00B430F3"/>
    <w:rsid w:val="00B4363A"/>
    <w:rsid w:val="00B43835"/>
    <w:rsid w:val="00B43A1D"/>
    <w:rsid w:val="00B43D61"/>
    <w:rsid w:val="00B43EF6"/>
    <w:rsid w:val="00B44379"/>
    <w:rsid w:val="00B443F7"/>
    <w:rsid w:val="00B44730"/>
    <w:rsid w:val="00B44B1E"/>
    <w:rsid w:val="00B4523B"/>
    <w:rsid w:val="00B4529D"/>
    <w:rsid w:val="00B457BA"/>
    <w:rsid w:val="00B4586B"/>
    <w:rsid w:val="00B45EB9"/>
    <w:rsid w:val="00B462E9"/>
    <w:rsid w:val="00B466A0"/>
    <w:rsid w:val="00B4673C"/>
    <w:rsid w:val="00B471FD"/>
    <w:rsid w:val="00B47301"/>
    <w:rsid w:val="00B478A7"/>
    <w:rsid w:val="00B478E9"/>
    <w:rsid w:val="00B47C29"/>
    <w:rsid w:val="00B47C69"/>
    <w:rsid w:val="00B47D1C"/>
    <w:rsid w:val="00B47E9D"/>
    <w:rsid w:val="00B502B9"/>
    <w:rsid w:val="00B50443"/>
    <w:rsid w:val="00B504FD"/>
    <w:rsid w:val="00B50BA1"/>
    <w:rsid w:val="00B50DEB"/>
    <w:rsid w:val="00B50ED9"/>
    <w:rsid w:val="00B51170"/>
    <w:rsid w:val="00B51312"/>
    <w:rsid w:val="00B516C7"/>
    <w:rsid w:val="00B517EE"/>
    <w:rsid w:val="00B51993"/>
    <w:rsid w:val="00B51E3A"/>
    <w:rsid w:val="00B5235C"/>
    <w:rsid w:val="00B524C6"/>
    <w:rsid w:val="00B52853"/>
    <w:rsid w:val="00B528BA"/>
    <w:rsid w:val="00B52D05"/>
    <w:rsid w:val="00B52D86"/>
    <w:rsid w:val="00B530D7"/>
    <w:rsid w:val="00B53919"/>
    <w:rsid w:val="00B53A83"/>
    <w:rsid w:val="00B53BAC"/>
    <w:rsid w:val="00B53DA1"/>
    <w:rsid w:val="00B53F24"/>
    <w:rsid w:val="00B54481"/>
    <w:rsid w:val="00B54501"/>
    <w:rsid w:val="00B54A1A"/>
    <w:rsid w:val="00B54EFB"/>
    <w:rsid w:val="00B5551A"/>
    <w:rsid w:val="00B55775"/>
    <w:rsid w:val="00B557B5"/>
    <w:rsid w:val="00B55ACB"/>
    <w:rsid w:val="00B55FCA"/>
    <w:rsid w:val="00B560BA"/>
    <w:rsid w:val="00B560BF"/>
    <w:rsid w:val="00B56627"/>
    <w:rsid w:val="00B56C6B"/>
    <w:rsid w:val="00B56D18"/>
    <w:rsid w:val="00B57072"/>
    <w:rsid w:val="00B576D1"/>
    <w:rsid w:val="00B57780"/>
    <w:rsid w:val="00B57C17"/>
    <w:rsid w:val="00B57C94"/>
    <w:rsid w:val="00B57E18"/>
    <w:rsid w:val="00B604D2"/>
    <w:rsid w:val="00B60A2B"/>
    <w:rsid w:val="00B60EE2"/>
    <w:rsid w:val="00B612FB"/>
    <w:rsid w:val="00B6146B"/>
    <w:rsid w:val="00B61719"/>
    <w:rsid w:val="00B618D9"/>
    <w:rsid w:val="00B618E1"/>
    <w:rsid w:val="00B61ADC"/>
    <w:rsid w:val="00B61D1E"/>
    <w:rsid w:val="00B61E51"/>
    <w:rsid w:val="00B62417"/>
    <w:rsid w:val="00B6269E"/>
    <w:rsid w:val="00B6292D"/>
    <w:rsid w:val="00B62BE1"/>
    <w:rsid w:val="00B62D17"/>
    <w:rsid w:val="00B62E18"/>
    <w:rsid w:val="00B63189"/>
    <w:rsid w:val="00B635B3"/>
    <w:rsid w:val="00B635E1"/>
    <w:rsid w:val="00B637C5"/>
    <w:rsid w:val="00B63824"/>
    <w:rsid w:val="00B640DF"/>
    <w:rsid w:val="00B640E8"/>
    <w:rsid w:val="00B642E3"/>
    <w:rsid w:val="00B64421"/>
    <w:rsid w:val="00B64859"/>
    <w:rsid w:val="00B649EA"/>
    <w:rsid w:val="00B64B16"/>
    <w:rsid w:val="00B6509F"/>
    <w:rsid w:val="00B653E9"/>
    <w:rsid w:val="00B6540A"/>
    <w:rsid w:val="00B6555C"/>
    <w:rsid w:val="00B65A6A"/>
    <w:rsid w:val="00B65A8F"/>
    <w:rsid w:val="00B65AFB"/>
    <w:rsid w:val="00B65E19"/>
    <w:rsid w:val="00B65E55"/>
    <w:rsid w:val="00B65F5D"/>
    <w:rsid w:val="00B65FB2"/>
    <w:rsid w:val="00B6639E"/>
    <w:rsid w:val="00B66874"/>
    <w:rsid w:val="00B66896"/>
    <w:rsid w:val="00B66CCE"/>
    <w:rsid w:val="00B672C7"/>
    <w:rsid w:val="00B67716"/>
    <w:rsid w:val="00B67ADD"/>
    <w:rsid w:val="00B70CC3"/>
    <w:rsid w:val="00B7164F"/>
    <w:rsid w:val="00B7168A"/>
    <w:rsid w:val="00B718B3"/>
    <w:rsid w:val="00B71F5C"/>
    <w:rsid w:val="00B7234A"/>
    <w:rsid w:val="00B729AE"/>
    <w:rsid w:val="00B72E36"/>
    <w:rsid w:val="00B72EBB"/>
    <w:rsid w:val="00B73233"/>
    <w:rsid w:val="00B7345E"/>
    <w:rsid w:val="00B7349F"/>
    <w:rsid w:val="00B734BC"/>
    <w:rsid w:val="00B737F9"/>
    <w:rsid w:val="00B739D4"/>
    <w:rsid w:val="00B73AEE"/>
    <w:rsid w:val="00B73B47"/>
    <w:rsid w:val="00B74596"/>
    <w:rsid w:val="00B74865"/>
    <w:rsid w:val="00B7492F"/>
    <w:rsid w:val="00B74C52"/>
    <w:rsid w:val="00B753D3"/>
    <w:rsid w:val="00B754C7"/>
    <w:rsid w:val="00B75D78"/>
    <w:rsid w:val="00B761EE"/>
    <w:rsid w:val="00B76681"/>
    <w:rsid w:val="00B77462"/>
    <w:rsid w:val="00B77926"/>
    <w:rsid w:val="00B802FD"/>
    <w:rsid w:val="00B81039"/>
    <w:rsid w:val="00B81103"/>
    <w:rsid w:val="00B811B2"/>
    <w:rsid w:val="00B81261"/>
    <w:rsid w:val="00B8146D"/>
    <w:rsid w:val="00B8169E"/>
    <w:rsid w:val="00B822CE"/>
    <w:rsid w:val="00B827A9"/>
    <w:rsid w:val="00B8298B"/>
    <w:rsid w:val="00B84963"/>
    <w:rsid w:val="00B84D58"/>
    <w:rsid w:val="00B854E5"/>
    <w:rsid w:val="00B85B85"/>
    <w:rsid w:val="00B861C2"/>
    <w:rsid w:val="00B862E3"/>
    <w:rsid w:val="00B86753"/>
    <w:rsid w:val="00B869FE"/>
    <w:rsid w:val="00B86A44"/>
    <w:rsid w:val="00B87092"/>
    <w:rsid w:val="00B871E2"/>
    <w:rsid w:val="00B87571"/>
    <w:rsid w:val="00B87743"/>
    <w:rsid w:val="00B87D7A"/>
    <w:rsid w:val="00B90465"/>
    <w:rsid w:val="00B90B84"/>
    <w:rsid w:val="00B90FAB"/>
    <w:rsid w:val="00B9146A"/>
    <w:rsid w:val="00B91D8A"/>
    <w:rsid w:val="00B91E31"/>
    <w:rsid w:val="00B91EE5"/>
    <w:rsid w:val="00B920F8"/>
    <w:rsid w:val="00B9232D"/>
    <w:rsid w:val="00B92B91"/>
    <w:rsid w:val="00B92BAD"/>
    <w:rsid w:val="00B92BB1"/>
    <w:rsid w:val="00B92DBA"/>
    <w:rsid w:val="00B9359E"/>
    <w:rsid w:val="00B93623"/>
    <w:rsid w:val="00B93A7D"/>
    <w:rsid w:val="00B93AB8"/>
    <w:rsid w:val="00B93C82"/>
    <w:rsid w:val="00B93D59"/>
    <w:rsid w:val="00B94163"/>
    <w:rsid w:val="00B942E0"/>
    <w:rsid w:val="00B94373"/>
    <w:rsid w:val="00B94653"/>
    <w:rsid w:val="00B946A5"/>
    <w:rsid w:val="00B9484F"/>
    <w:rsid w:val="00B94E52"/>
    <w:rsid w:val="00B94F82"/>
    <w:rsid w:val="00B95206"/>
    <w:rsid w:val="00B9539D"/>
    <w:rsid w:val="00B955DE"/>
    <w:rsid w:val="00B95790"/>
    <w:rsid w:val="00B95AAD"/>
    <w:rsid w:val="00B95B29"/>
    <w:rsid w:val="00B95C9C"/>
    <w:rsid w:val="00B95CDC"/>
    <w:rsid w:val="00B9650A"/>
    <w:rsid w:val="00B9669F"/>
    <w:rsid w:val="00B9682F"/>
    <w:rsid w:val="00B96841"/>
    <w:rsid w:val="00B96BB1"/>
    <w:rsid w:val="00B96C53"/>
    <w:rsid w:val="00B96EED"/>
    <w:rsid w:val="00B96FD0"/>
    <w:rsid w:val="00B97153"/>
    <w:rsid w:val="00B9771C"/>
    <w:rsid w:val="00B977FD"/>
    <w:rsid w:val="00B97CE0"/>
    <w:rsid w:val="00BA0A9F"/>
    <w:rsid w:val="00BA0D88"/>
    <w:rsid w:val="00BA0F81"/>
    <w:rsid w:val="00BA12C9"/>
    <w:rsid w:val="00BA1DF4"/>
    <w:rsid w:val="00BA1F93"/>
    <w:rsid w:val="00BA2092"/>
    <w:rsid w:val="00BA28B1"/>
    <w:rsid w:val="00BA293F"/>
    <w:rsid w:val="00BA2CB1"/>
    <w:rsid w:val="00BA2D0E"/>
    <w:rsid w:val="00BA318A"/>
    <w:rsid w:val="00BA3580"/>
    <w:rsid w:val="00BA35DE"/>
    <w:rsid w:val="00BA39A7"/>
    <w:rsid w:val="00BA3AC9"/>
    <w:rsid w:val="00BA3BB7"/>
    <w:rsid w:val="00BA3D8B"/>
    <w:rsid w:val="00BA3E2C"/>
    <w:rsid w:val="00BA3EA2"/>
    <w:rsid w:val="00BA4178"/>
    <w:rsid w:val="00BA46F7"/>
    <w:rsid w:val="00BA4E48"/>
    <w:rsid w:val="00BA4F1F"/>
    <w:rsid w:val="00BA50C2"/>
    <w:rsid w:val="00BA5265"/>
    <w:rsid w:val="00BA5B0C"/>
    <w:rsid w:val="00BA5D75"/>
    <w:rsid w:val="00BA605C"/>
    <w:rsid w:val="00BA6BA9"/>
    <w:rsid w:val="00BA6D4E"/>
    <w:rsid w:val="00BA7028"/>
    <w:rsid w:val="00BA7213"/>
    <w:rsid w:val="00BA7651"/>
    <w:rsid w:val="00BA776F"/>
    <w:rsid w:val="00BA7B3A"/>
    <w:rsid w:val="00BA7FD6"/>
    <w:rsid w:val="00BB000B"/>
    <w:rsid w:val="00BB0254"/>
    <w:rsid w:val="00BB03C8"/>
    <w:rsid w:val="00BB089F"/>
    <w:rsid w:val="00BB09AD"/>
    <w:rsid w:val="00BB09BA"/>
    <w:rsid w:val="00BB0EF0"/>
    <w:rsid w:val="00BB1675"/>
    <w:rsid w:val="00BB16FC"/>
    <w:rsid w:val="00BB18B4"/>
    <w:rsid w:val="00BB19B4"/>
    <w:rsid w:val="00BB204A"/>
    <w:rsid w:val="00BB2205"/>
    <w:rsid w:val="00BB2B6E"/>
    <w:rsid w:val="00BB328E"/>
    <w:rsid w:val="00BB34EF"/>
    <w:rsid w:val="00BB3F16"/>
    <w:rsid w:val="00BB4481"/>
    <w:rsid w:val="00BB4651"/>
    <w:rsid w:val="00BB4BB3"/>
    <w:rsid w:val="00BB5265"/>
    <w:rsid w:val="00BB537C"/>
    <w:rsid w:val="00BB557B"/>
    <w:rsid w:val="00BB59C7"/>
    <w:rsid w:val="00BB5B95"/>
    <w:rsid w:val="00BB5BA2"/>
    <w:rsid w:val="00BB5D98"/>
    <w:rsid w:val="00BB5FC0"/>
    <w:rsid w:val="00BB617B"/>
    <w:rsid w:val="00BB62FF"/>
    <w:rsid w:val="00BB6FAA"/>
    <w:rsid w:val="00BB7603"/>
    <w:rsid w:val="00BB77D3"/>
    <w:rsid w:val="00BB7BBA"/>
    <w:rsid w:val="00BC04CC"/>
    <w:rsid w:val="00BC0B48"/>
    <w:rsid w:val="00BC12F1"/>
    <w:rsid w:val="00BC153A"/>
    <w:rsid w:val="00BC156C"/>
    <w:rsid w:val="00BC18C3"/>
    <w:rsid w:val="00BC1A49"/>
    <w:rsid w:val="00BC1CDF"/>
    <w:rsid w:val="00BC1D10"/>
    <w:rsid w:val="00BC1E31"/>
    <w:rsid w:val="00BC211C"/>
    <w:rsid w:val="00BC2793"/>
    <w:rsid w:val="00BC285F"/>
    <w:rsid w:val="00BC2E5E"/>
    <w:rsid w:val="00BC2EAE"/>
    <w:rsid w:val="00BC38F4"/>
    <w:rsid w:val="00BC3C28"/>
    <w:rsid w:val="00BC416F"/>
    <w:rsid w:val="00BC442C"/>
    <w:rsid w:val="00BC450D"/>
    <w:rsid w:val="00BC45E8"/>
    <w:rsid w:val="00BC4699"/>
    <w:rsid w:val="00BC46B6"/>
    <w:rsid w:val="00BC4789"/>
    <w:rsid w:val="00BC482F"/>
    <w:rsid w:val="00BC4FC6"/>
    <w:rsid w:val="00BC5578"/>
    <w:rsid w:val="00BC5AB4"/>
    <w:rsid w:val="00BC5BD3"/>
    <w:rsid w:val="00BC60FF"/>
    <w:rsid w:val="00BC63B6"/>
    <w:rsid w:val="00BC69BD"/>
    <w:rsid w:val="00BC7136"/>
    <w:rsid w:val="00BC76E8"/>
    <w:rsid w:val="00BC7B0F"/>
    <w:rsid w:val="00BC7C3A"/>
    <w:rsid w:val="00BD0093"/>
    <w:rsid w:val="00BD02A3"/>
    <w:rsid w:val="00BD074D"/>
    <w:rsid w:val="00BD0C4F"/>
    <w:rsid w:val="00BD0FDD"/>
    <w:rsid w:val="00BD12F1"/>
    <w:rsid w:val="00BD1CB7"/>
    <w:rsid w:val="00BD1F54"/>
    <w:rsid w:val="00BD252A"/>
    <w:rsid w:val="00BD257F"/>
    <w:rsid w:val="00BD2584"/>
    <w:rsid w:val="00BD29F9"/>
    <w:rsid w:val="00BD35D0"/>
    <w:rsid w:val="00BD3760"/>
    <w:rsid w:val="00BD3AB1"/>
    <w:rsid w:val="00BD3BE4"/>
    <w:rsid w:val="00BD4013"/>
    <w:rsid w:val="00BD4341"/>
    <w:rsid w:val="00BD4863"/>
    <w:rsid w:val="00BD495D"/>
    <w:rsid w:val="00BD5832"/>
    <w:rsid w:val="00BD5865"/>
    <w:rsid w:val="00BD5DE0"/>
    <w:rsid w:val="00BD6045"/>
    <w:rsid w:val="00BD604A"/>
    <w:rsid w:val="00BD6114"/>
    <w:rsid w:val="00BD624D"/>
    <w:rsid w:val="00BD637D"/>
    <w:rsid w:val="00BD6455"/>
    <w:rsid w:val="00BD69D1"/>
    <w:rsid w:val="00BD6A64"/>
    <w:rsid w:val="00BD6B31"/>
    <w:rsid w:val="00BD6ECA"/>
    <w:rsid w:val="00BD70E9"/>
    <w:rsid w:val="00BD71B5"/>
    <w:rsid w:val="00BD7350"/>
    <w:rsid w:val="00BD7410"/>
    <w:rsid w:val="00BD76CB"/>
    <w:rsid w:val="00BD772E"/>
    <w:rsid w:val="00BD7730"/>
    <w:rsid w:val="00BD7BD3"/>
    <w:rsid w:val="00BD7F02"/>
    <w:rsid w:val="00BD7FE2"/>
    <w:rsid w:val="00BE03F9"/>
    <w:rsid w:val="00BE05D9"/>
    <w:rsid w:val="00BE0871"/>
    <w:rsid w:val="00BE179A"/>
    <w:rsid w:val="00BE18BF"/>
    <w:rsid w:val="00BE1CE5"/>
    <w:rsid w:val="00BE1F32"/>
    <w:rsid w:val="00BE2417"/>
    <w:rsid w:val="00BE2533"/>
    <w:rsid w:val="00BE254C"/>
    <w:rsid w:val="00BE272A"/>
    <w:rsid w:val="00BE286A"/>
    <w:rsid w:val="00BE2BC3"/>
    <w:rsid w:val="00BE33BA"/>
    <w:rsid w:val="00BE3AA0"/>
    <w:rsid w:val="00BE3C50"/>
    <w:rsid w:val="00BE3DBD"/>
    <w:rsid w:val="00BE3EBF"/>
    <w:rsid w:val="00BE4219"/>
    <w:rsid w:val="00BE4804"/>
    <w:rsid w:val="00BE4D66"/>
    <w:rsid w:val="00BE4E16"/>
    <w:rsid w:val="00BE4ED7"/>
    <w:rsid w:val="00BE4F53"/>
    <w:rsid w:val="00BE4F62"/>
    <w:rsid w:val="00BE54CE"/>
    <w:rsid w:val="00BE571A"/>
    <w:rsid w:val="00BE592A"/>
    <w:rsid w:val="00BE6037"/>
    <w:rsid w:val="00BE6153"/>
    <w:rsid w:val="00BE6353"/>
    <w:rsid w:val="00BE6AE0"/>
    <w:rsid w:val="00BE6D2B"/>
    <w:rsid w:val="00BE6D4C"/>
    <w:rsid w:val="00BE6EE0"/>
    <w:rsid w:val="00BE77E3"/>
    <w:rsid w:val="00BE7FD9"/>
    <w:rsid w:val="00BF06A2"/>
    <w:rsid w:val="00BF07BB"/>
    <w:rsid w:val="00BF07C0"/>
    <w:rsid w:val="00BF0B5C"/>
    <w:rsid w:val="00BF0C73"/>
    <w:rsid w:val="00BF0EB4"/>
    <w:rsid w:val="00BF12BB"/>
    <w:rsid w:val="00BF16CC"/>
    <w:rsid w:val="00BF1855"/>
    <w:rsid w:val="00BF1944"/>
    <w:rsid w:val="00BF1C67"/>
    <w:rsid w:val="00BF2494"/>
    <w:rsid w:val="00BF25D4"/>
    <w:rsid w:val="00BF26FA"/>
    <w:rsid w:val="00BF2D69"/>
    <w:rsid w:val="00BF31A7"/>
    <w:rsid w:val="00BF34EF"/>
    <w:rsid w:val="00BF3741"/>
    <w:rsid w:val="00BF390F"/>
    <w:rsid w:val="00BF3AB7"/>
    <w:rsid w:val="00BF3B1C"/>
    <w:rsid w:val="00BF3BB9"/>
    <w:rsid w:val="00BF3D75"/>
    <w:rsid w:val="00BF432A"/>
    <w:rsid w:val="00BF4449"/>
    <w:rsid w:val="00BF4C43"/>
    <w:rsid w:val="00BF5A54"/>
    <w:rsid w:val="00BF5C47"/>
    <w:rsid w:val="00BF5EE0"/>
    <w:rsid w:val="00BF5EE9"/>
    <w:rsid w:val="00BF60B3"/>
    <w:rsid w:val="00BF68EE"/>
    <w:rsid w:val="00BF699C"/>
    <w:rsid w:val="00BF6A7E"/>
    <w:rsid w:val="00BF6BC0"/>
    <w:rsid w:val="00BF6E10"/>
    <w:rsid w:val="00BF7174"/>
    <w:rsid w:val="00BF7338"/>
    <w:rsid w:val="00BF75D2"/>
    <w:rsid w:val="00BF7941"/>
    <w:rsid w:val="00BF7953"/>
    <w:rsid w:val="00BF7B8D"/>
    <w:rsid w:val="00BF7CD3"/>
    <w:rsid w:val="00C0049E"/>
    <w:rsid w:val="00C00569"/>
    <w:rsid w:val="00C0059D"/>
    <w:rsid w:val="00C008F4"/>
    <w:rsid w:val="00C00B0A"/>
    <w:rsid w:val="00C01050"/>
    <w:rsid w:val="00C01459"/>
    <w:rsid w:val="00C015EA"/>
    <w:rsid w:val="00C0180A"/>
    <w:rsid w:val="00C0188E"/>
    <w:rsid w:val="00C01B33"/>
    <w:rsid w:val="00C01BBD"/>
    <w:rsid w:val="00C01C91"/>
    <w:rsid w:val="00C01D80"/>
    <w:rsid w:val="00C02004"/>
    <w:rsid w:val="00C0235E"/>
    <w:rsid w:val="00C02778"/>
    <w:rsid w:val="00C02BDD"/>
    <w:rsid w:val="00C02FA7"/>
    <w:rsid w:val="00C02FC5"/>
    <w:rsid w:val="00C0350B"/>
    <w:rsid w:val="00C03D7F"/>
    <w:rsid w:val="00C03E80"/>
    <w:rsid w:val="00C04106"/>
    <w:rsid w:val="00C04538"/>
    <w:rsid w:val="00C05119"/>
    <w:rsid w:val="00C05458"/>
    <w:rsid w:val="00C05799"/>
    <w:rsid w:val="00C05892"/>
    <w:rsid w:val="00C059A8"/>
    <w:rsid w:val="00C064AE"/>
    <w:rsid w:val="00C066B1"/>
    <w:rsid w:val="00C06DDA"/>
    <w:rsid w:val="00C06E69"/>
    <w:rsid w:val="00C06F4F"/>
    <w:rsid w:val="00C070EC"/>
    <w:rsid w:val="00C07295"/>
    <w:rsid w:val="00C077FA"/>
    <w:rsid w:val="00C07D56"/>
    <w:rsid w:val="00C10708"/>
    <w:rsid w:val="00C110EC"/>
    <w:rsid w:val="00C116FB"/>
    <w:rsid w:val="00C11C3A"/>
    <w:rsid w:val="00C11DC0"/>
    <w:rsid w:val="00C11F91"/>
    <w:rsid w:val="00C1222C"/>
    <w:rsid w:val="00C12B77"/>
    <w:rsid w:val="00C12BEE"/>
    <w:rsid w:val="00C12C10"/>
    <w:rsid w:val="00C12D87"/>
    <w:rsid w:val="00C136D0"/>
    <w:rsid w:val="00C1377D"/>
    <w:rsid w:val="00C13877"/>
    <w:rsid w:val="00C139E5"/>
    <w:rsid w:val="00C13E16"/>
    <w:rsid w:val="00C13EDC"/>
    <w:rsid w:val="00C148E4"/>
    <w:rsid w:val="00C149F9"/>
    <w:rsid w:val="00C14A89"/>
    <w:rsid w:val="00C14BE3"/>
    <w:rsid w:val="00C14DCF"/>
    <w:rsid w:val="00C14DE0"/>
    <w:rsid w:val="00C1501E"/>
    <w:rsid w:val="00C151CD"/>
    <w:rsid w:val="00C15293"/>
    <w:rsid w:val="00C1574D"/>
    <w:rsid w:val="00C159B9"/>
    <w:rsid w:val="00C15CCF"/>
    <w:rsid w:val="00C15D0B"/>
    <w:rsid w:val="00C160C5"/>
    <w:rsid w:val="00C170D3"/>
    <w:rsid w:val="00C172BE"/>
    <w:rsid w:val="00C1761D"/>
    <w:rsid w:val="00C17E5E"/>
    <w:rsid w:val="00C17ED6"/>
    <w:rsid w:val="00C20073"/>
    <w:rsid w:val="00C20749"/>
    <w:rsid w:val="00C20C94"/>
    <w:rsid w:val="00C20D9D"/>
    <w:rsid w:val="00C20DA5"/>
    <w:rsid w:val="00C210C4"/>
    <w:rsid w:val="00C218E9"/>
    <w:rsid w:val="00C219D1"/>
    <w:rsid w:val="00C22603"/>
    <w:rsid w:val="00C229F3"/>
    <w:rsid w:val="00C22B0E"/>
    <w:rsid w:val="00C2305D"/>
    <w:rsid w:val="00C236A5"/>
    <w:rsid w:val="00C23946"/>
    <w:rsid w:val="00C2397B"/>
    <w:rsid w:val="00C23BD5"/>
    <w:rsid w:val="00C2438C"/>
    <w:rsid w:val="00C24659"/>
    <w:rsid w:val="00C2483D"/>
    <w:rsid w:val="00C2541A"/>
    <w:rsid w:val="00C256B0"/>
    <w:rsid w:val="00C25798"/>
    <w:rsid w:val="00C25867"/>
    <w:rsid w:val="00C25958"/>
    <w:rsid w:val="00C2609A"/>
    <w:rsid w:val="00C2649A"/>
    <w:rsid w:val="00C26630"/>
    <w:rsid w:val="00C2668B"/>
    <w:rsid w:val="00C26951"/>
    <w:rsid w:val="00C26DF5"/>
    <w:rsid w:val="00C27261"/>
    <w:rsid w:val="00C27538"/>
    <w:rsid w:val="00C27DA5"/>
    <w:rsid w:val="00C301A3"/>
    <w:rsid w:val="00C3045D"/>
    <w:rsid w:val="00C306C7"/>
    <w:rsid w:val="00C30B16"/>
    <w:rsid w:val="00C31047"/>
    <w:rsid w:val="00C3152D"/>
    <w:rsid w:val="00C315DF"/>
    <w:rsid w:val="00C317E2"/>
    <w:rsid w:val="00C31BDC"/>
    <w:rsid w:val="00C31C0A"/>
    <w:rsid w:val="00C31E4C"/>
    <w:rsid w:val="00C3202D"/>
    <w:rsid w:val="00C323BE"/>
    <w:rsid w:val="00C32414"/>
    <w:rsid w:val="00C3268B"/>
    <w:rsid w:val="00C326D2"/>
    <w:rsid w:val="00C32BB2"/>
    <w:rsid w:val="00C32C1C"/>
    <w:rsid w:val="00C32D9A"/>
    <w:rsid w:val="00C32F03"/>
    <w:rsid w:val="00C32F1F"/>
    <w:rsid w:val="00C330BB"/>
    <w:rsid w:val="00C3313D"/>
    <w:rsid w:val="00C33592"/>
    <w:rsid w:val="00C33721"/>
    <w:rsid w:val="00C33C92"/>
    <w:rsid w:val="00C346D2"/>
    <w:rsid w:val="00C34AA0"/>
    <w:rsid w:val="00C3510E"/>
    <w:rsid w:val="00C35184"/>
    <w:rsid w:val="00C35414"/>
    <w:rsid w:val="00C359F0"/>
    <w:rsid w:val="00C35C4C"/>
    <w:rsid w:val="00C36315"/>
    <w:rsid w:val="00C364C0"/>
    <w:rsid w:val="00C369D0"/>
    <w:rsid w:val="00C36D1B"/>
    <w:rsid w:val="00C37164"/>
    <w:rsid w:val="00C37A82"/>
    <w:rsid w:val="00C37ADC"/>
    <w:rsid w:val="00C37D05"/>
    <w:rsid w:val="00C37FE0"/>
    <w:rsid w:val="00C40207"/>
    <w:rsid w:val="00C4020B"/>
    <w:rsid w:val="00C40946"/>
    <w:rsid w:val="00C409F7"/>
    <w:rsid w:val="00C40C68"/>
    <w:rsid w:val="00C40D5D"/>
    <w:rsid w:val="00C40EB6"/>
    <w:rsid w:val="00C41207"/>
    <w:rsid w:val="00C415E3"/>
    <w:rsid w:val="00C418EF"/>
    <w:rsid w:val="00C41C7F"/>
    <w:rsid w:val="00C41D0B"/>
    <w:rsid w:val="00C424AF"/>
    <w:rsid w:val="00C42584"/>
    <w:rsid w:val="00C4262D"/>
    <w:rsid w:val="00C426D0"/>
    <w:rsid w:val="00C42B4B"/>
    <w:rsid w:val="00C43109"/>
    <w:rsid w:val="00C43497"/>
    <w:rsid w:val="00C43712"/>
    <w:rsid w:val="00C43715"/>
    <w:rsid w:val="00C43870"/>
    <w:rsid w:val="00C43CE7"/>
    <w:rsid w:val="00C43FE8"/>
    <w:rsid w:val="00C44488"/>
    <w:rsid w:val="00C44677"/>
    <w:rsid w:val="00C448AB"/>
    <w:rsid w:val="00C44E85"/>
    <w:rsid w:val="00C45D2C"/>
    <w:rsid w:val="00C45EB9"/>
    <w:rsid w:val="00C462A1"/>
    <w:rsid w:val="00C46496"/>
    <w:rsid w:val="00C46978"/>
    <w:rsid w:val="00C473AD"/>
    <w:rsid w:val="00C473C3"/>
    <w:rsid w:val="00C474A6"/>
    <w:rsid w:val="00C476D6"/>
    <w:rsid w:val="00C4783D"/>
    <w:rsid w:val="00C47A04"/>
    <w:rsid w:val="00C47A43"/>
    <w:rsid w:val="00C47AFD"/>
    <w:rsid w:val="00C47C11"/>
    <w:rsid w:val="00C47C32"/>
    <w:rsid w:val="00C47F34"/>
    <w:rsid w:val="00C50010"/>
    <w:rsid w:val="00C508F0"/>
    <w:rsid w:val="00C50A12"/>
    <w:rsid w:val="00C50A2C"/>
    <w:rsid w:val="00C51401"/>
    <w:rsid w:val="00C51554"/>
    <w:rsid w:val="00C517A6"/>
    <w:rsid w:val="00C51833"/>
    <w:rsid w:val="00C51AC3"/>
    <w:rsid w:val="00C51F05"/>
    <w:rsid w:val="00C5247D"/>
    <w:rsid w:val="00C5276E"/>
    <w:rsid w:val="00C529AE"/>
    <w:rsid w:val="00C52FDA"/>
    <w:rsid w:val="00C532EA"/>
    <w:rsid w:val="00C5364E"/>
    <w:rsid w:val="00C5376B"/>
    <w:rsid w:val="00C5386E"/>
    <w:rsid w:val="00C539F0"/>
    <w:rsid w:val="00C542F2"/>
    <w:rsid w:val="00C54739"/>
    <w:rsid w:val="00C5506F"/>
    <w:rsid w:val="00C5509B"/>
    <w:rsid w:val="00C5510F"/>
    <w:rsid w:val="00C5551A"/>
    <w:rsid w:val="00C55564"/>
    <w:rsid w:val="00C559AA"/>
    <w:rsid w:val="00C55ADE"/>
    <w:rsid w:val="00C55C2C"/>
    <w:rsid w:val="00C55DA8"/>
    <w:rsid w:val="00C56BA2"/>
    <w:rsid w:val="00C56BB8"/>
    <w:rsid w:val="00C56DE3"/>
    <w:rsid w:val="00C56FB0"/>
    <w:rsid w:val="00C56FE9"/>
    <w:rsid w:val="00C57328"/>
    <w:rsid w:val="00C573A6"/>
    <w:rsid w:val="00C575A0"/>
    <w:rsid w:val="00C57AB3"/>
    <w:rsid w:val="00C60053"/>
    <w:rsid w:val="00C60079"/>
    <w:rsid w:val="00C60110"/>
    <w:rsid w:val="00C60222"/>
    <w:rsid w:val="00C60B29"/>
    <w:rsid w:val="00C60CC3"/>
    <w:rsid w:val="00C60F95"/>
    <w:rsid w:val="00C61396"/>
    <w:rsid w:val="00C614DF"/>
    <w:rsid w:val="00C6169D"/>
    <w:rsid w:val="00C6185D"/>
    <w:rsid w:val="00C622D1"/>
    <w:rsid w:val="00C625AC"/>
    <w:rsid w:val="00C629B4"/>
    <w:rsid w:val="00C62A30"/>
    <w:rsid w:val="00C62BBD"/>
    <w:rsid w:val="00C62FAD"/>
    <w:rsid w:val="00C62FDC"/>
    <w:rsid w:val="00C63E4A"/>
    <w:rsid w:val="00C63F6B"/>
    <w:rsid w:val="00C645B1"/>
    <w:rsid w:val="00C646B9"/>
    <w:rsid w:val="00C64956"/>
    <w:rsid w:val="00C64CA3"/>
    <w:rsid w:val="00C64FE3"/>
    <w:rsid w:val="00C65FD8"/>
    <w:rsid w:val="00C66031"/>
    <w:rsid w:val="00C6626C"/>
    <w:rsid w:val="00C662E2"/>
    <w:rsid w:val="00C66310"/>
    <w:rsid w:val="00C6631B"/>
    <w:rsid w:val="00C671EA"/>
    <w:rsid w:val="00C67264"/>
    <w:rsid w:val="00C672BA"/>
    <w:rsid w:val="00C678EE"/>
    <w:rsid w:val="00C67A0B"/>
    <w:rsid w:val="00C67D3F"/>
    <w:rsid w:val="00C67F04"/>
    <w:rsid w:val="00C7070E"/>
    <w:rsid w:val="00C708C6"/>
    <w:rsid w:val="00C70929"/>
    <w:rsid w:val="00C70D55"/>
    <w:rsid w:val="00C710F0"/>
    <w:rsid w:val="00C7154D"/>
    <w:rsid w:val="00C715F6"/>
    <w:rsid w:val="00C717C0"/>
    <w:rsid w:val="00C722A2"/>
    <w:rsid w:val="00C7250C"/>
    <w:rsid w:val="00C72A15"/>
    <w:rsid w:val="00C7318A"/>
    <w:rsid w:val="00C74141"/>
    <w:rsid w:val="00C74543"/>
    <w:rsid w:val="00C74651"/>
    <w:rsid w:val="00C74A16"/>
    <w:rsid w:val="00C74B78"/>
    <w:rsid w:val="00C74D7E"/>
    <w:rsid w:val="00C74D81"/>
    <w:rsid w:val="00C7504D"/>
    <w:rsid w:val="00C750C1"/>
    <w:rsid w:val="00C754CB"/>
    <w:rsid w:val="00C75543"/>
    <w:rsid w:val="00C75855"/>
    <w:rsid w:val="00C75A11"/>
    <w:rsid w:val="00C75FCD"/>
    <w:rsid w:val="00C7635F"/>
    <w:rsid w:val="00C763F5"/>
    <w:rsid w:val="00C765CF"/>
    <w:rsid w:val="00C765EA"/>
    <w:rsid w:val="00C76772"/>
    <w:rsid w:val="00C767DE"/>
    <w:rsid w:val="00C76857"/>
    <w:rsid w:val="00C76C47"/>
    <w:rsid w:val="00C76D46"/>
    <w:rsid w:val="00C76DDA"/>
    <w:rsid w:val="00C76E3D"/>
    <w:rsid w:val="00C772A0"/>
    <w:rsid w:val="00C774F2"/>
    <w:rsid w:val="00C77BEF"/>
    <w:rsid w:val="00C77D68"/>
    <w:rsid w:val="00C77E1F"/>
    <w:rsid w:val="00C80B19"/>
    <w:rsid w:val="00C81613"/>
    <w:rsid w:val="00C81746"/>
    <w:rsid w:val="00C819D9"/>
    <w:rsid w:val="00C81B10"/>
    <w:rsid w:val="00C81B31"/>
    <w:rsid w:val="00C81D45"/>
    <w:rsid w:val="00C81EDE"/>
    <w:rsid w:val="00C82295"/>
    <w:rsid w:val="00C825E1"/>
    <w:rsid w:val="00C82688"/>
    <w:rsid w:val="00C82771"/>
    <w:rsid w:val="00C82BD6"/>
    <w:rsid w:val="00C82DC4"/>
    <w:rsid w:val="00C8331A"/>
    <w:rsid w:val="00C8396B"/>
    <w:rsid w:val="00C83B63"/>
    <w:rsid w:val="00C83EB3"/>
    <w:rsid w:val="00C83FD6"/>
    <w:rsid w:val="00C844F9"/>
    <w:rsid w:val="00C848EF"/>
    <w:rsid w:val="00C852ED"/>
    <w:rsid w:val="00C85543"/>
    <w:rsid w:val="00C85709"/>
    <w:rsid w:val="00C85881"/>
    <w:rsid w:val="00C85947"/>
    <w:rsid w:val="00C85EF5"/>
    <w:rsid w:val="00C86001"/>
    <w:rsid w:val="00C86079"/>
    <w:rsid w:val="00C860BA"/>
    <w:rsid w:val="00C86391"/>
    <w:rsid w:val="00C86433"/>
    <w:rsid w:val="00C866CE"/>
    <w:rsid w:val="00C866D2"/>
    <w:rsid w:val="00C87280"/>
    <w:rsid w:val="00C87453"/>
    <w:rsid w:val="00C875B4"/>
    <w:rsid w:val="00C87963"/>
    <w:rsid w:val="00C87F4C"/>
    <w:rsid w:val="00C9019D"/>
    <w:rsid w:val="00C904D8"/>
    <w:rsid w:val="00C90935"/>
    <w:rsid w:val="00C91576"/>
    <w:rsid w:val="00C919E9"/>
    <w:rsid w:val="00C91BAB"/>
    <w:rsid w:val="00C91E46"/>
    <w:rsid w:val="00C91F3B"/>
    <w:rsid w:val="00C920C3"/>
    <w:rsid w:val="00C92218"/>
    <w:rsid w:val="00C92629"/>
    <w:rsid w:val="00C92733"/>
    <w:rsid w:val="00C93015"/>
    <w:rsid w:val="00C93319"/>
    <w:rsid w:val="00C9438B"/>
    <w:rsid w:val="00C947A2"/>
    <w:rsid w:val="00C947CD"/>
    <w:rsid w:val="00C949B6"/>
    <w:rsid w:val="00C95137"/>
    <w:rsid w:val="00C956ED"/>
    <w:rsid w:val="00C95834"/>
    <w:rsid w:val="00C95BD3"/>
    <w:rsid w:val="00C95BE8"/>
    <w:rsid w:val="00C95F3A"/>
    <w:rsid w:val="00C961A3"/>
    <w:rsid w:val="00C964C0"/>
    <w:rsid w:val="00C96D19"/>
    <w:rsid w:val="00C96E9C"/>
    <w:rsid w:val="00C97452"/>
    <w:rsid w:val="00C9794E"/>
    <w:rsid w:val="00CA0169"/>
    <w:rsid w:val="00CA0480"/>
    <w:rsid w:val="00CA048F"/>
    <w:rsid w:val="00CA0A5B"/>
    <w:rsid w:val="00CA0B57"/>
    <w:rsid w:val="00CA10DA"/>
    <w:rsid w:val="00CA1576"/>
    <w:rsid w:val="00CA1814"/>
    <w:rsid w:val="00CA19DA"/>
    <w:rsid w:val="00CA1E3C"/>
    <w:rsid w:val="00CA23C5"/>
    <w:rsid w:val="00CA2453"/>
    <w:rsid w:val="00CA2486"/>
    <w:rsid w:val="00CA259F"/>
    <w:rsid w:val="00CA2C8F"/>
    <w:rsid w:val="00CA304C"/>
    <w:rsid w:val="00CA3499"/>
    <w:rsid w:val="00CA39F8"/>
    <w:rsid w:val="00CA3A9C"/>
    <w:rsid w:val="00CA41C3"/>
    <w:rsid w:val="00CA4410"/>
    <w:rsid w:val="00CA45C3"/>
    <w:rsid w:val="00CA5994"/>
    <w:rsid w:val="00CA5A38"/>
    <w:rsid w:val="00CA5DCB"/>
    <w:rsid w:val="00CA6157"/>
    <w:rsid w:val="00CA6171"/>
    <w:rsid w:val="00CA61B5"/>
    <w:rsid w:val="00CA634B"/>
    <w:rsid w:val="00CA6873"/>
    <w:rsid w:val="00CA6955"/>
    <w:rsid w:val="00CA6C00"/>
    <w:rsid w:val="00CA6EB9"/>
    <w:rsid w:val="00CA784A"/>
    <w:rsid w:val="00CA7B22"/>
    <w:rsid w:val="00CA7C84"/>
    <w:rsid w:val="00CB00F0"/>
    <w:rsid w:val="00CB0178"/>
    <w:rsid w:val="00CB02F2"/>
    <w:rsid w:val="00CB085C"/>
    <w:rsid w:val="00CB0B77"/>
    <w:rsid w:val="00CB0DAF"/>
    <w:rsid w:val="00CB0E89"/>
    <w:rsid w:val="00CB1CBC"/>
    <w:rsid w:val="00CB1D74"/>
    <w:rsid w:val="00CB1D9C"/>
    <w:rsid w:val="00CB1DB4"/>
    <w:rsid w:val="00CB2185"/>
    <w:rsid w:val="00CB250E"/>
    <w:rsid w:val="00CB269F"/>
    <w:rsid w:val="00CB26C2"/>
    <w:rsid w:val="00CB2756"/>
    <w:rsid w:val="00CB2908"/>
    <w:rsid w:val="00CB2980"/>
    <w:rsid w:val="00CB2C31"/>
    <w:rsid w:val="00CB3231"/>
    <w:rsid w:val="00CB35EA"/>
    <w:rsid w:val="00CB3752"/>
    <w:rsid w:val="00CB3812"/>
    <w:rsid w:val="00CB39FB"/>
    <w:rsid w:val="00CB3BCB"/>
    <w:rsid w:val="00CB3D7B"/>
    <w:rsid w:val="00CB3E5F"/>
    <w:rsid w:val="00CB3ED1"/>
    <w:rsid w:val="00CB4134"/>
    <w:rsid w:val="00CB4225"/>
    <w:rsid w:val="00CB4E5C"/>
    <w:rsid w:val="00CB505D"/>
    <w:rsid w:val="00CB57CD"/>
    <w:rsid w:val="00CB5C91"/>
    <w:rsid w:val="00CB5F3D"/>
    <w:rsid w:val="00CB638C"/>
    <w:rsid w:val="00CB6DB8"/>
    <w:rsid w:val="00CB6E65"/>
    <w:rsid w:val="00CB6E70"/>
    <w:rsid w:val="00CB70F7"/>
    <w:rsid w:val="00CB7142"/>
    <w:rsid w:val="00CB727A"/>
    <w:rsid w:val="00CB7547"/>
    <w:rsid w:val="00CB758E"/>
    <w:rsid w:val="00CB765C"/>
    <w:rsid w:val="00CB7672"/>
    <w:rsid w:val="00CB78EF"/>
    <w:rsid w:val="00CB7AEE"/>
    <w:rsid w:val="00CB7B3D"/>
    <w:rsid w:val="00CB7C62"/>
    <w:rsid w:val="00CB7C98"/>
    <w:rsid w:val="00CB7F08"/>
    <w:rsid w:val="00CC032C"/>
    <w:rsid w:val="00CC0574"/>
    <w:rsid w:val="00CC0587"/>
    <w:rsid w:val="00CC05F5"/>
    <w:rsid w:val="00CC0682"/>
    <w:rsid w:val="00CC06E2"/>
    <w:rsid w:val="00CC07AC"/>
    <w:rsid w:val="00CC08F7"/>
    <w:rsid w:val="00CC099E"/>
    <w:rsid w:val="00CC09D7"/>
    <w:rsid w:val="00CC0B60"/>
    <w:rsid w:val="00CC0BED"/>
    <w:rsid w:val="00CC1284"/>
    <w:rsid w:val="00CC12AD"/>
    <w:rsid w:val="00CC15C9"/>
    <w:rsid w:val="00CC16A7"/>
    <w:rsid w:val="00CC16E0"/>
    <w:rsid w:val="00CC1728"/>
    <w:rsid w:val="00CC1812"/>
    <w:rsid w:val="00CC18A3"/>
    <w:rsid w:val="00CC18CC"/>
    <w:rsid w:val="00CC2440"/>
    <w:rsid w:val="00CC2856"/>
    <w:rsid w:val="00CC286D"/>
    <w:rsid w:val="00CC2907"/>
    <w:rsid w:val="00CC29C6"/>
    <w:rsid w:val="00CC29F1"/>
    <w:rsid w:val="00CC2E19"/>
    <w:rsid w:val="00CC3638"/>
    <w:rsid w:val="00CC3793"/>
    <w:rsid w:val="00CC39CE"/>
    <w:rsid w:val="00CC3E86"/>
    <w:rsid w:val="00CC4039"/>
    <w:rsid w:val="00CC41A9"/>
    <w:rsid w:val="00CC449A"/>
    <w:rsid w:val="00CC4AAE"/>
    <w:rsid w:val="00CC4D78"/>
    <w:rsid w:val="00CC51C6"/>
    <w:rsid w:val="00CC5D8A"/>
    <w:rsid w:val="00CC5DF0"/>
    <w:rsid w:val="00CC61D4"/>
    <w:rsid w:val="00CC6229"/>
    <w:rsid w:val="00CC6512"/>
    <w:rsid w:val="00CC684F"/>
    <w:rsid w:val="00CC6AE8"/>
    <w:rsid w:val="00CC7438"/>
    <w:rsid w:val="00CC746A"/>
    <w:rsid w:val="00CC7730"/>
    <w:rsid w:val="00CC7A31"/>
    <w:rsid w:val="00CC7BF5"/>
    <w:rsid w:val="00CC7D3D"/>
    <w:rsid w:val="00CD0B14"/>
    <w:rsid w:val="00CD0D74"/>
    <w:rsid w:val="00CD0FE9"/>
    <w:rsid w:val="00CD14AE"/>
    <w:rsid w:val="00CD14C6"/>
    <w:rsid w:val="00CD1A1B"/>
    <w:rsid w:val="00CD1BA9"/>
    <w:rsid w:val="00CD2159"/>
    <w:rsid w:val="00CD293C"/>
    <w:rsid w:val="00CD293D"/>
    <w:rsid w:val="00CD2AE1"/>
    <w:rsid w:val="00CD2F13"/>
    <w:rsid w:val="00CD2F45"/>
    <w:rsid w:val="00CD3054"/>
    <w:rsid w:val="00CD3444"/>
    <w:rsid w:val="00CD3802"/>
    <w:rsid w:val="00CD3F0E"/>
    <w:rsid w:val="00CD3FBF"/>
    <w:rsid w:val="00CD4495"/>
    <w:rsid w:val="00CD4621"/>
    <w:rsid w:val="00CD484A"/>
    <w:rsid w:val="00CD4880"/>
    <w:rsid w:val="00CD4AD3"/>
    <w:rsid w:val="00CD4BA3"/>
    <w:rsid w:val="00CD50D1"/>
    <w:rsid w:val="00CD53DE"/>
    <w:rsid w:val="00CD5532"/>
    <w:rsid w:val="00CD58ED"/>
    <w:rsid w:val="00CD5B25"/>
    <w:rsid w:val="00CD5C09"/>
    <w:rsid w:val="00CD6334"/>
    <w:rsid w:val="00CD66F4"/>
    <w:rsid w:val="00CD6A75"/>
    <w:rsid w:val="00CD6AE8"/>
    <w:rsid w:val="00CD6C9C"/>
    <w:rsid w:val="00CD731F"/>
    <w:rsid w:val="00CD755D"/>
    <w:rsid w:val="00CD77FD"/>
    <w:rsid w:val="00CD7F3E"/>
    <w:rsid w:val="00CE0318"/>
    <w:rsid w:val="00CE051F"/>
    <w:rsid w:val="00CE0A80"/>
    <w:rsid w:val="00CE15AE"/>
    <w:rsid w:val="00CE1F2C"/>
    <w:rsid w:val="00CE2203"/>
    <w:rsid w:val="00CE29A8"/>
    <w:rsid w:val="00CE2A19"/>
    <w:rsid w:val="00CE2AE3"/>
    <w:rsid w:val="00CE2AFC"/>
    <w:rsid w:val="00CE2C5C"/>
    <w:rsid w:val="00CE2CB6"/>
    <w:rsid w:val="00CE2E03"/>
    <w:rsid w:val="00CE31D1"/>
    <w:rsid w:val="00CE3238"/>
    <w:rsid w:val="00CE326D"/>
    <w:rsid w:val="00CE345E"/>
    <w:rsid w:val="00CE3AB9"/>
    <w:rsid w:val="00CE3AD7"/>
    <w:rsid w:val="00CE3D1F"/>
    <w:rsid w:val="00CE3EAA"/>
    <w:rsid w:val="00CE40A6"/>
    <w:rsid w:val="00CE41FE"/>
    <w:rsid w:val="00CE457E"/>
    <w:rsid w:val="00CE4D62"/>
    <w:rsid w:val="00CE4E0D"/>
    <w:rsid w:val="00CE51EE"/>
    <w:rsid w:val="00CE51FB"/>
    <w:rsid w:val="00CE52BC"/>
    <w:rsid w:val="00CE53AC"/>
    <w:rsid w:val="00CE55D9"/>
    <w:rsid w:val="00CE56A8"/>
    <w:rsid w:val="00CE5857"/>
    <w:rsid w:val="00CE5889"/>
    <w:rsid w:val="00CE5E56"/>
    <w:rsid w:val="00CE62C3"/>
    <w:rsid w:val="00CE63E4"/>
    <w:rsid w:val="00CE645C"/>
    <w:rsid w:val="00CE64E2"/>
    <w:rsid w:val="00CE651D"/>
    <w:rsid w:val="00CE656D"/>
    <w:rsid w:val="00CE674A"/>
    <w:rsid w:val="00CE6CF3"/>
    <w:rsid w:val="00CE6D52"/>
    <w:rsid w:val="00CE76FA"/>
    <w:rsid w:val="00CE7796"/>
    <w:rsid w:val="00CE7AEC"/>
    <w:rsid w:val="00CE7D7C"/>
    <w:rsid w:val="00CE7DB6"/>
    <w:rsid w:val="00CF0089"/>
    <w:rsid w:val="00CF066D"/>
    <w:rsid w:val="00CF07EC"/>
    <w:rsid w:val="00CF080D"/>
    <w:rsid w:val="00CF089B"/>
    <w:rsid w:val="00CF0A59"/>
    <w:rsid w:val="00CF167E"/>
    <w:rsid w:val="00CF1A9A"/>
    <w:rsid w:val="00CF245B"/>
    <w:rsid w:val="00CF275B"/>
    <w:rsid w:val="00CF2E8A"/>
    <w:rsid w:val="00CF2EC0"/>
    <w:rsid w:val="00CF3236"/>
    <w:rsid w:val="00CF342C"/>
    <w:rsid w:val="00CF34EA"/>
    <w:rsid w:val="00CF3841"/>
    <w:rsid w:val="00CF386A"/>
    <w:rsid w:val="00CF3992"/>
    <w:rsid w:val="00CF3D6C"/>
    <w:rsid w:val="00CF468A"/>
    <w:rsid w:val="00CF4908"/>
    <w:rsid w:val="00CF4984"/>
    <w:rsid w:val="00CF4AA0"/>
    <w:rsid w:val="00CF4DE5"/>
    <w:rsid w:val="00CF562B"/>
    <w:rsid w:val="00CF56BE"/>
    <w:rsid w:val="00CF5EA1"/>
    <w:rsid w:val="00CF63ED"/>
    <w:rsid w:val="00CF6570"/>
    <w:rsid w:val="00CF694D"/>
    <w:rsid w:val="00CF758F"/>
    <w:rsid w:val="00CF7908"/>
    <w:rsid w:val="00CF7C22"/>
    <w:rsid w:val="00CF7E9D"/>
    <w:rsid w:val="00CF7EC4"/>
    <w:rsid w:val="00CF7F54"/>
    <w:rsid w:val="00D00267"/>
    <w:rsid w:val="00D003F5"/>
    <w:rsid w:val="00D00462"/>
    <w:rsid w:val="00D0051C"/>
    <w:rsid w:val="00D0082F"/>
    <w:rsid w:val="00D00948"/>
    <w:rsid w:val="00D00F9E"/>
    <w:rsid w:val="00D01779"/>
    <w:rsid w:val="00D018FB"/>
    <w:rsid w:val="00D01C0C"/>
    <w:rsid w:val="00D01C1F"/>
    <w:rsid w:val="00D01EFA"/>
    <w:rsid w:val="00D0214C"/>
    <w:rsid w:val="00D0217B"/>
    <w:rsid w:val="00D0277C"/>
    <w:rsid w:val="00D028E0"/>
    <w:rsid w:val="00D02C24"/>
    <w:rsid w:val="00D0337A"/>
    <w:rsid w:val="00D035F3"/>
    <w:rsid w:val="00D03BB4"/>
    <w:rsid w:val="00D03DE4"/>
    <w:rsid w:val="00D0498E"/>
    <w:rsid w:val="00D04B02"/>
    <w:rsid w:val="00D04CE2"/>
    <w:rsid w:val="00D04D02"/>
    <w:rsid w:val="00D04F9F"/>
    <w:rsid w:val="00D059FE"/>
    <w:rsid w:val="00D05DDD"/>
    <w:rsid w:val="00D0607D"/>
    <w:rsid w:val="00D06122"/>
    <w:rsid w:val="00D067DF"/>
    <w:rsid w:val="00D06ACF"/>
    <w:rsid w:val="00D06D3B"/>
    <w:rsid w:val="00D06EB1"/>
    <w:rsid w:val="00D07043"/>
    <w:rsid w:val="00D072A4"/>
    <w:rsid w:val="00D073F1"/>
    <w:rsid w:val="00D0742C"/>
    <w:rsid w:val="00D07590"/>
    <w:rsid w:val="00D07729"/>
    <w:rsid w:val="00D07B2D"/>
    <w:rsid w:val="00D07C82"/>
    <w:rsid w:val="00D07E4A"/>
    <w:rsid w:val="00D10108"/>
    <w:rsid w:val="00D10303"/>
    <w:rsid w:val="00D10331"/>
    <w:rsid w:val="00D10D01"/>
    <w:rsid w:val="00D10D3A"/>
    <w:rsid w:val="00D10F26"/>
    <w:rsid w:val="00D11152"/>
    <w:rsid w:val="00D115CC"/>
    <w:rsid w:val="00D11ED5"/>
    <w:rsid w:val="00D11FDF"/>
    <w:rsid w:val="00D122BE"/>
    <w:rsid w:val="00D12411"/>
    <w:rsid w:val="00D12CE3"/>
    <w:rsid w:val="00D130C0"/>
    <w:rsid w:val="00D13113"/>
    <w:rsid w:val="00D13180"/>
    <w:rsid w:val="00D134DE"/>
    <w:rsid w:val="00D13664"/>
    <w:rsid w:val="00D13AC8"/>
    <w:rsid w:val="00D13BE5"/>
    <w:rsid w:val="00D1441B"/>
    <w:rsid w:val="00D147E3"/>
    <w:rsid w:val="00D1487C"/>
    <w:rsid w:val="00D14D17"/>
    <w:rsid w:val="00D14DDC"/>
    <w:rsid w:val="00D15899"/>
    <w:rsid w:val="00D15972"/>
    <w:rsid w:val="00D159DE"/>
    <w:rsid w:val="00D16324"/>
    <w:rsid w:val="00D16362"/>
    <w:rsid w:val="00D168FD"/>
    <w:rsid w:val="00D169B0"/>
    <w:rsid w:val="00D170A9"/>
    <w:rsid w:val="00D17447"/>
    <w:rsid w:val="00D176D7"/>
    <w:rsid w:val="00D177C8"/>
    <w:rsid w:val="00D17F7D"/>
    <w:rsid w:val="00D2094E"/>
    <w:rsid w:val="00D20A7C"/>
    <w:rsid w:val="00D20BB2"/>
    <w:rsid w:val="00D20D82"/>
    <w:rsid w:val="00D20ED3"/>
    <w:rsid w:val="00D20F8E"/>
    <w:rsid w:val="00D211C7"/>
    <w:rsid w:val="00D21316"/>
    <w:rsid w:val="00D213DA"/>
    <w:rsid w:val="00D2143D"/>
    <w:rsid w:val="00D214BF"/>
    <w:rsid w:val="00D21573"/>
    <w:rsid w:val="00D21AD5"/>
    <w:rsid w:val="00D22590"/>
    <w:rsid w:val="00D22A97"/>
    <w:rsid w:val="00D22CE6"/>
    <w:rsid w:val="00D23487"/>
    <w:rsid w:val="00D23834"/>
    <w:rsid w:val="00D23B94"/>
    <w:rsid w:val="00D23C7D"/>
    <w:rsid w:val="00D23DAB"/>
    <w:rsid w:val="00D23E64"/>
    <w:rsid w:val="00D245E6"/>
    <w:rsid w:val="00D24BFB"/>
    <w:rsid w:val="00D251E9"/>
    <w:rsid w:val="00D2542B"/>
    <w:rsid w:val="00D2567D"/>
    <w:rsid w:val="00D25A3F"/>
    <w:rsid w:val="00D25D4C"/>
    <w:rsid w:val="00D2606A"/>
    <w:rsid w:val="00D26253"/>
    <w:rsid w:val="00D262D0"/>
    <w:rsid w:val="00D2631F"/>
    <w:rsid w:val="00D266E2"/>
    <w:rsid w:val="00D26970"/>
    <w:rsid w:val="00D26A00"/>
    <w:rsid w:val="00D26AE7"/>
    <w:rsid w:val="00D26DAD"/>
    <w:rsid w:val="00D27958"/>
    <w:rsid w:val="00D27AEF"/>
    <w:rsid w:val="00D27C78"/>
    <w:rsid w:val="00D27D3F"/>
    <w:rsid w:val="00D27DA1"/>
    <w:rsid w:val="00D30437"/>
    <w:rsid w:val="00D305B1"/>
    <w:rsid w:val="00D30753"/>
    <w:rsid w:val="00D307AC"/>
    <w:rsid w:val="00D309D0"/>
    <w:rsid w:val="00D30D98"/>
    <w:rsid w:val="00D30F5D"/>
    <w:rsid w:val="00D313C1"/>
    <w:rsid w:val="00D3171A"/>
    <w:rsid w:val="00D31863"/>
    <w:rsid w:val="00D318D4"/>
    <w:rsid w:val="00D31B72"/>
    <w:rsid w:val="00D31D43"/>
    <w:rsid w:val="00D3214F"/>
    <w:rsid w:val="00D32172"/>
    <w:rsid w:val="00D323C2"/>
    <w:rsid w:val="00D32D53"/>
    <w:rsid w:val="00D32E48"/>
    <w:rsid w:val="00D33012"/>
    <w:rsid w:val="00D33232"/>
    <w:rsid w:val="00D33275"/>
    <w:rsid w:val="00D33553"/>
    <w:rsid w:val="00D33F83"/>
    <w:rsid w:val="00D3422F"/>
    <w:rsid w:val="00D348E6"/>
    <w:rsid w:val="00D34947"/>
    <w:rsid w:val="00D34D9B"/>
    <w:rsid w:val="00D34DA5"/>
    <w:rsid w:val="00D34EA2"/>
    <w:rsid w:val="00D3510D"/>
    <w:rsid w:val="00D35171"/>
    <w:rsid w:val="00D35678"/>
    <w:rsid w:val="00D35842"/>
    <w:rsid w:val="00D3586F"/>
    <w:rsid w:val="00D358E6"/>
    <w:rsid w:val="00D359AA"/>
    <w:rsid w:val="00D35D11"/>
    <w:rsid w:val="00D35FBF"/>
    <w:rsid w:val="00D36F9A"/>
    <w:rsid w:val="00D37548"/>
    <w:rsid w:val="00D37A63"/>
    <w:rsid w:val="00D37D49"/>
    <w:rsid w:val="00D4046E"/>
    <w:rsid w:val="00D4052F"/>
    <w:rsid w:val="00D405C8"/>
    <w:rsid w:val="00D4093E"/>
    <w:rsid w:val="00D412BA"/>
    <w:rsid w:val="00D41716"/>
    <w:rsid w:val="00D41AA3"/>
    <w:rsid w:val="00D424FD"/>
    <w:rsid w:val="00D42F3F"/>
    <w:rsid w:val="00D43383"/>
    <w:rsid w:val="00D433AB"/>
    <w:rsid w:val="00D43991"/>
    <w:rsid w:val="00D44297"/>
    <w:rsid w:val="00D442B2"/>
    <w:rsid w:val="00D44691"/>
    <w:rsid w:val="00D448AD"/>
    <w:rsid w:val="00D44D27"/>
    <w:rsid w:val="00D44F5C"/>
    <w:rsid w:val="00D44F60"/>
    <w:rsid w:val="00D45005"/>
    <w:rsid w:val="00D45127"/>
    <w:rsid w:val="00D45491"/>
    <w:rsid w:val="00D45577"/>
    <w:rsid w:val="00D45D16"/>
    <w:rsid w:val="00D45E12"/>
    <w:rsid w:val="00D46A71"/>
    <w:rsid w:val="00D46B78"/>
    <w:rsid w:val="00D47197"/>
    <w:rsid w:val="00D47F43"/>
    <w:rsid w:val="00D5029C"/>
    <w:rsid w:val="00D506F1"/>
    <w:rsid w:val="00D508E6"/>
    <w:rsid w:val="00D50A40"/>
    <w:rsid w:val="00D50A43"/>
    <w:rsid w:val="00D50E6F"/>
    <w:rsid w:val="00D512C7"/>
    <w:rsid w:val="00D5132C"/>
    <w:rsid w:val="00D51695"/>
    <w:rsid w:val="00D51726"/>
    <w:rsid w:val="00D51899"/>
    <w:rsid w:val="00D51A7E"/>
    <w:rsid w:val="00D5203C"/>
    <w:rsid w:val="00D521B3"/>
    <w:rsid w:val="00D52336"/>
    <w:rsid w:val="00D523AB"/>
    <w:rsid w:val="00D52A91"/>
    <w:rsid w:val="00D52FDF"/>
    <w:rsid w:val="00D53C6E"/>
    <w:rsid w:val="00D53C7B"/>
    <w:rsid w:val="00D53D07"/>
    <w:rsid w:val="00D54AA1"/>
    <w:rsid w:val="00D54BE5"/>
    <w:rsid w:val="00D54D67"/>
    <w:rsid w:val="00D550FF"/>
    <w:rsid w:val="00D559FA"/>
    <w:rsid w:val="00D55BD5"/>
    <w:rsid w:val="00D55C4A"/>
    <w:rsid w:val="00D55EA5"/>
    <w:rsid w:val="00D55EBF"/>
    <w:rsid w:val="00D562DC"/>
    <w:rsid w:val="00D56678"/>
    <w:rsid w:val="00D56FE2"/>
    <w:rsid w:val="00D572AF"/>
    <w:rsid w:val="00D574E3"/>
    <w:rsid w:val="00D57584"/>
    <w:rsid w:val="00D60152"/>
    <w:rsid w:val="00D6022C"/>
    <w:rsid w:val="00D6029A"/>
    <w:rsid w:val="00D60645"/>
    <w:rsid w:val="00D606CA"/>
    <w:rsid w:val="00D6097A"/>
    <w:rsid w:val="00D60A5C"/>
    <w:rsid w:val="00D60E69"/>
    <w:rsid w:val="00D60F0A"/>
    <w:rsid w:val="00D612A5"/>
    <w:rsid w:val="00D61CBE"/>
    <w:rsid w:val="00D61E9B"/>
    <w:rsid w:val="00D61FD0"/>
    <w:rsid w:val="00D62DD7"/>
    <w:rsid w:val="00D62E36"/>
    <w:rsid w:val="00D62F99"/>
    <w:rsid w:val="00D62FE2"/>
    <w:rsid w:val="00D63027"/>
    <w:rsid w:val="00D63840"/>
    <w:rsid w:val="00D63B79"/>
    <w:rsid w:val="00D63C8C"/>
    <w:rsid w:val="00D63CA0"/>
    <w:rsid w:val="00D64002"/>
    <w:rsid w:val="00D6581F"/>
    <w:rsid w:val="00D65876"/>
    <w:rsid w:val="00D65F98"/>
    <w:rsid w:val="00D66D27"/>
    <w:rsid w:val="00D6716E"/>
    <w:rsid w:val="00D67189"/>
    <w:rsid w:val="00D672FC"/>
    <w:rsid w:val="00D67885"/>
    <w:rsid w:val="00D678D7"/>
    <w:rsid w:val="00D67B38"/>
    <w:rsid w:val="00D67FFC"/>
    <w:rsid w:val="00D703CF"/>
    <w:rsid w:val="00D703EB"/>
    <w:rsid w:val="00D7041D"/>
    <w:rsid w:val="00D70502"/>
    <w:rsid w:val="00D705AF"/>
    <w:rsid w:val="00D7083E"/>
    <w:rsid w:val="00D710B7"/>
    <w:rsid w:val="00D7113B"/>
    <w:rsid w:val="00D71502"/>
    <w:rsid w:val="00D717B3"/>
    <w:rsid w:val="00D717C5"/>
    <w:rsid w:val="00D71E00"/>
    <w:rsid w:val="00D72318"/>
    <w:rsid w:val="00D729D1"/>
    <w:rsid w:val="00D72ABC"/>
    <w:rsid w:val="00D72B09"/>
    <w:rsid w:val="00D72B66"/>
    <w:rsid w:val="00D72B92"/>
    <w:rsid w:val="00D72B94"/>
    <w:rsid w:val="00D72D24"/>
    <w:rsid w:val="00D72E24"/>
    <w:rsid w:val="00D72EC7"/>
    <w:rsid w:val="00D72F2D"/>
    <w:rsid w:val="00D72FD8"/>
    <w:rsid w:val="00D7337F"/>
    <w:rsid w:val="00D7379A"/>
    <w:rsid w:val="00D73DBF"/>
    <w:rsid w:val="00D74073"/>
    <w:rsid w:val="00D757E9"/>
    <w:rsid w:val="00D758B3"/>
    <w:rsid w:val="00D75F0E"/>
    <w:rsid w:val="00D76072"/>
    <w:rsid w:val="00D7643A"/>
    <w:rsid w:val="00D7672F"/>
    <w:rsid w:val="00D7696E"/>
    <w:rsid w:val="00D76AC8"/>
    <w:rsid w:val="00D76D26"/>
    <w:rsid w:val="00D76E6A"/>
    <w:rsid w:val="00D774E7"/>
    <w:rsid w:val="00D774E8"/>
    <w:rsid w:val="00D7754E"/>
    <w:rsid w:val="00D7768D"/>
    <w:rsid w:val="00D776CD"/>
    <w:rsid w:val="00D77891"/>
    <w:rsid w:val="00D801DA"/>
    <w:rsid w:val="00D8038C"/>
    <w:rsid w:val="00D80422"/>
    <w:rsid w:val="00D80E34"/>
    <w:rsid w:val="00D81066"/>
    <w:rsid w:val="00D81092"/>
    <w:rsid w:val="00D819FC"/>
    <w:rsid w:val="00D81BAD"/>
    <w:rsid w:val="00D81BF7"/>
    <w:rsid w:val="00D82EA6"/>
    <w:rsid w:val="00D83368"/>
    <w:rsid w:val="00D836DB"/>
    <w:rsid w:val="00D84696"/>
    <w:rsid w:val="00D847AB"/>
    <w:rsid w:val="00D84991"/>
    <w:rsid w:val="00D84CA8"/>
    <w:rsid w:val="00D84F12"/>
    <w:rsid w:val="00D84F17"/>
    <w:rsid w:val="00D850A7"/>
    <w:rsid w:val="00D850D0"/>
    <w:rsid w:val="00D854AB"/>
    <w:rsid w:val="00D855DE"/>
    <w:rsid w:val="00D855EA"/>
    <w:rsid w:val="00D8648C"/>
    <w:rsid w:val="00D8658F"/>
    <w:rsid w:val="00D8689F"/>
    <w:rsid w:val="00D86C21"/>
    <w:rsid w:val="00D87BB2"/>
    <w:rsid w:val="00D87BCE"/>
    <w:rsid w:val="00D87E9C"/>
    <w:rsid w:val="00D87F30"/>
    <w:rsid w:val="00D9035D"/>
    <w:rsid w:val="00D90438"/>
    <w:rsid w:val="00D9050C"/>
    <w:rsid w:val="00D908FC"/>
    <w:rsid w:val="00D90ACD"/>
    <w:rsid w:val="00D9137F"/>
    <w:rsid w:val="00D92139"/>
    <w:rsid w:val="00D921BF"/>
    <w:rsid w:val="00D922C5"/>
    <w:rsid w:val="00D9246A"/>
    <w:rsid w:val="00D92759"/>
    <w:rsid w:val="00D928D1"/>
    <w:rsid w:val="00D92B8C"/>
    <w:rsid w:val="00D92DE2"/>
    <w:rsid w:val="00D9328B"/>
    <w:rsid w:val="00D93551"/>
    <w:rsid w:val="00D9395F"/>
    <w:rsid w:val="00D93D4D"/>
    <w:rsid w:val="00D93DFB"/>
    <w:rsid w:val="00D93F1D"/>
    <w:rsid w:val="00D93F34"/>
    <w:rsid w:val="00D942AA"/>
    <w:rsid w:val="00D944D1"/>
    <w:rsid w:val="00D946A1"/>
    <w:rsid w:val="00D95263"/>
    <w:rsid w:val="00D952E3"/>
    <w:rsid w:val="00D9538B"/>
    <w:rsid w:val="00D95448"/>
    <w:rsid w:val="00D955A9"/>
    <w:rsid w:val="00D9564D"/>
    <w:rsid w:val="00D95BEB"/>
    <w:rsid w:val="00D966A3"/>
    <w:rsid w:val="00D96796"/>
    <w:rsid w:val="00D96A75"/>
    <w:rsid w:val="00D96B65"/>
    <w:rsid w:val="00D96DCE"/>
    <w:rsid w:val="00D96EB5"/>
    <w:rsid w:val="00D97009"/>
    <w:rsid w:val="00D97170"/>
    <w:rsid w:val="00D97356"/>
    <w:rsid w:val="00D973D3"/>
    <w:rsid w:val="00DA0129"/>
    <w:rsid w:val="00DA01C2"/>
    <w:rsid w:val="00DA0272"/>
    <w:rsid w:val="00DA03A3"/>
    <w:rsid w:val="00DA040B"/>
    <w:rsid w:val="00DA085A"/>
    <w:rsid w:val="00DA0EB0"/>
    <w:rsid w:val="00DA1303"/>
    <w:rsid w:val="00DA137E"/>
    <w:rsid w:val="00DA169A"/>
    <w:rsid w:val="00DA180C"/>
    <w:rsid w:val="00DA1853"/>
    <w:rsid w:val="00DA18C1"/>
    <w:rsid w:val="00DA1DDA"/>
    <w:rsid w:val="00DA1E8C"/>
    <w:rsid w:val="00DA2433"/>
    <w:rsid w:val="00DA262E"/>
    <w:rsid w:val="00DA2B3D"/>
    <w:rsid w:val="00DA2C3D"/>
    <w:rsid w:val="00DA2E99"/>
    <w:rsid w:val="00DA327C"/>
    <w:rsid w:val="00DA3322"/>
    <w:rsid w:val="00DA3327"/>
    <w:rsid w:val="00DA393B"/>
    <w:rsid w:val="00DA3EEB"/>
    <w:rsid w:val="00DA42B3"/>
    <w:rsid w:val="00DA469C"/>
    <w:rsid w:val="00DA492A"/>
    <w:rsid w:val="00DA4C88"/>
    <w:rsid w:val="00DA503E"/>
    <w:rsid w:val="00DA598A"/>
    <w:rsid w:val="00DA5BCB"/>
    <w:rsid w:val="00DA5CA7"/>
    <w:rsid w:val="00DA6140"/>
    <w:rsid w:val="00DA6665"/>
    <w:rsid w:val="00DA6FBE"/>
    <w:rsid w:val="00DA71B5"/>
    <w:rsid w:val="00DA77B3"/>
    <w:rsid w:val="00DA77FC"/>
    <w:rsid w:val="00DB0188"/>
    <w:rsid w:val="00DB1248"/>
    <w:rsid w:val="00DB1283"/>
    <w:rsid w:val="00DB14BC"/>
    <w:rsid w:val="00DB15FA"/>
    <w:rsid w:val="00DB182C"/>
    <w:rsid w:val="00DB2468"/>
    <w:rsid w:val="00DB2822"/>
    <w:rsid w:val="00DB2A0B"/>
    <w:rsid w:val="00DB348C"/>
    <w:rsid w:val="00DB34E6"/>
    <w:rsid w:val="00DB36C0"/>
    <w:rsid w:val="00DB375D"/>
    <w:rsid w:val="00DB39EC"/>
    <w:rsid w:val="00DB3B13"/>
    <w:rsid w:val="00DB3EC4"/>
    <w:rsid w:val="00DB422E"/>
    <w:rsid w:val="00DB4F90"/>
    <w:rsid w:val="00DB51FD"/>
    <w:rsid w:val="00DB5724"/>
    <w:rsid w:val="00DB5784"/>
    <w:rsid w:val="00DB585F"/>
    <w:rsid w:val="00DB6795"/>
    <w:rsid w:val="00DB6924"/>
    <w:rsid w:val="00DB6AD7"/>
    <w:rsid w:val="00DB6B35"/>
    <w:rsid w:val="00DB6C0C"/>
    <w:rsid w:val="00DB6EC2"/>
    <w:rsid w:val="00DB7060"/>
    <w:rsid w:val="00DB7377"/>
    <w:rsid w:val="00DB7484"/>
    <w:rsid w:val="00DB77B9"/>
    <w:rsid w:val="00DB7A8D"/>
    <w:rsid w:val="00DB7E85"/>
    <w:rsid w:val="00DB7EA2"/>
    <w:rsid w:val="00DC05B9"/>
    <w:rsid w:val="00DC083B"/>
    <w:rsid w:val="00DC0B2F"/>
    <w:rsid w:val="00DC0C86"/>
    <w:rsid w:val="00DC0D68"/>
    <w:rsid w:val="00DC102B"/>
    <w:rsid w:val="00DC11C5"/>
    <w:rsid w:val="00DC13F4"/>
    <w:rsid w:val="00DC1465"/>
    <w:rsid w:val="00DC1565"/>
    <w:rsid w:val="00DC1927"/>
    <w:rsid w:val="00DC1AAB"/>
    <w:rsid w:val="00DC220B"/>
    <w:rsid w:val="00DC2547"/>
    <w:rsid w:val="00DC27AA"/>
    <w:rsid w:val="00DC27D1"/>
    <w:rsid w:val="00DC2EBA"/>
    <w:rsid w:val="00DC3530"/>
    <w:rsid w:val="00DC3A35"/>
    <w:rsid w:val="00DC3C9E"/>
    <w:rsid w:val="00DC438F"/>
    <w:rsid w:val="00DC43EB"/>
    <w:rsid w:val="00DC4924"/>
    <w:rsid w:val="00DC4AF9"/>
    <w:rsid w:val="00DC4D28"/>
    <w:rsid w:val="00DC4DB1"/>
    <w:rsid w:val="00DC53B0"/>
    <w:rsid w:val="00DC58C2"/>
    <w:rsid w:val="00DC5A29"/>
    <w:rsid w:val="00DC5BA8"/>
    <w:rsid w:val="00DC6035"/>
    <w:rsid w:val="00DC639F"/>
    <w:rsid w:val="00DC64CF"/>
    <w:rsid w:val="00DC65A6"/>
    <w:rsid w:val="00DC6C03"/>
    <w:rsid w:val="00DC7053"/>
    <w:rsid w:val="00DC7E96"/>
    <w:rsid w:val="00DD006F"/>
    <w:rsid w:val="00DD02FD"/>
    <w:rsid w:val="00DD052E"/>
    <w:rsid w:val="00DD06AE"/>
    <w:rsid w:val="00DD0CA1"/>
    <w:rsid w:val="00DD0CC6"/>
    <w:rsid w:val="00DD0D24"/>
    <w:rsid w:val="00DD10AB"/>
    <w:rsid w:val="00DD1181"/>
    <w:rsid w:val="00DD1447"/>
    <w:rsid w:val="00DD18AC"/>
    <w:rsid w:val="00DD1ADA"/>
    <w:rsid w:val="00DD1EC0"/>
    <w:rsid w:val="00DD2021"/>
    <w:rsid w:val="00DD26BC"/>
    <w:rsid w:val="00DD292F"/>
    <w:rsid w:val="00DD30B1"/>
    <w:rsid w:val="00DD3D7B"/>
    <w:rsid w:val="00DD3DEB"/>
    <w:rsid w:val="00DD3FEE"/>
    <w:rsid w:val="00DD4080"/>
    <w:rsid w:val="00DD4089"/>
    <w:rsid w:val="00DD42F4"/>
    <w:rsid w:val="00DD44D0"/>
    <w:rsid w:val="00DD4520"/>
    <w:rsid w:val="00DD480A"/>
    <w:rsid w:val="00DD499E"/>
    <w:rsid w:val="00DD5545"/>
    <w:rsid w:val="00DD5D0D"/>
    <w:rsid w:val="00DD62E3"/>
    <w:rsid w:val="00DD679A"/>
    <w:rsid w:val="00DD6A48"/>
    <w:rsid w:val="00DD6E0F"/>
    <w:rsid w:val="00DD6F52"/>
    <w:rsid w:val="00DD709C"/>
    <w:rsid w:val="00DD737E"/>
    <w:rsid w:val="00DD7A0D"/>
    <w:rsid w:val="00DD7B76"/>
    <w:rsid w:val="00DD7E7F"/>
    <w:rsid w:val="00DE0032"/>
    <w:rsid w:val="00DE01E6"/>
    <w:rsid w:val="00DE036C"/>
    <w:rsid w:val="00DE06BC"/>
    <w:rsid w:val="00DE06C0"/>
    <w:rsid w:val="00DE0B02"/>
    <w:rsid w:val="00DE118B"/>
    <w:rsid w:val="00DE1563"/>
    <w:rsid w:val="00DE1EC3"/>
    <w:rsid w:val="00DE2036"/>
    <w:rsid w:val="00DE21B9"/>
    <w:rsid w:val="00DE2213"/>
    <w:rsid w:val="00DE2504"/>
    <w:rsid w:val="00DE2734"/>
    <w:rsid w:val="00DE274B"/>
    <w:rsid w:val="00DE29D2"/>
    <w:rsid w:val="00DE2ABB"/>
    <w:rsid w:val="00DE2D34"/>
    <w:rsid w:val="00DE2D8B"/>
    <w:rsid w:val="00DE325B"/>
    <w:rsid w:val="00DE347A"/>
    <w:rsid w:val="00DE34F3"/>
    <w:rsid w:val="00DE35AE"/>
    <w:rsid w:val="00DE3731"/>
    <w:rsid w:val="00DE373D"/>
    <w:rsid w:val="00DE3815"/>
    <w:rsid w:val="00DE3D26"/>
    <w:rsid w:val="00DE40D3"/>
    <w:rsid w:val="00DE4760"/>
    <w:rsid w:val="00DE476C"/>
    <w:rsid w:val="00DE4ED2"/>
    <w:rsid w:val="00DE5096"/>
    <w:rsid w:val="00DE5A6D"/>
    <w:rsid w:val="00DE5E22"/>
    <w:rsid w:val="00DE64B9"/>
    <w:rsid w:val="00DE7509"/>
    <w:rsid w:val="00DE757B"/>
    <w:rsid w:val="00DE7A8B"/>
    <w:rsid w:val="00DE7C0E"/>
    <w:rsid w:val="00DE7C80"/>
    <w:rsid w:val="00DF013C"/>
    <w:rsid w:val="00DF01A4"/>
    <w:rsid w:val="00DF0249"/>
    <w:rsid w:val="00DF02C0"/>
    <w:rsid w:val="00DF0390"/>
    <w:rsid w:val="00DF03FC"/>
    <w:rsid w:val="00DF0497"/>
    <w:rsid w:val="00DF04DE"/>
    <w:rsid w:val="00DF05A3"/>
    <w:rsid w:val="00DF06F7"/>
    <w:rsid w:val="00DF08A2"/>
    <w:rsid w:val="00DF0A37"/>
    <w:rsid w:val="00DF1068"/>
    <w:rsid w:val="00DF11EE"/>
    <w:rsid w:val="00DF14BB"/>
    <w:rsid w:val="00DF2153"/>
    <w:rsid w:val="00DF22DA"/>
    <w:rsid w:val="00DF2482"/>
    <w:rsid w:val="00DF2588"/>
    <w:rsid w:val="00DF25C9"/>
    <w:rsid w:val="00DF27C2"/>
    <w:rsid w:val="00DF2850"/>
    <w:rsid w:val="00DF2865"/>
    <w:rsid w:val="00DF299B"/>
    <w:rsid w:val="00DF2DD8"/>
    <w:rsid w:val="00DF333E"/>
    <w:rsid w:val="00DF3430"/>
    <w:rsid w:val="00DF35AB"/>
    <w:rsid w:val="00DF3726"/>
    <w:rsid w:val="00DF39F1"/>
    <w:rsid w:val="00DF3B65"/>
    <w:rsid w:val="00DF4553"/>
    <w:rsid w:val="00DF464D"/>
    <w:rsid w:val="00DF549C"/>
    <w:rsid w:val="00DF5710"/>
    <w:rsid w:val="00DF5732"/>
    <w:rsid w:val="00DF5B04"/>
    <w:rsid w:val="00DF61D1"/>
    <w:rsid w:val="00DF6582"/>
    <w:rsid w:val="00DF65D0"/>
    <w:rsid w:val="00DF66C1"/>
    <w:rsid w:val="00DF6A73"/>
    <w:rsid w:val="00DF6FD1"/>
    <w:rsid w:val="00DF7079"/>
    <w:rsid w:val="00DF73AF"/>
    <w:rsid w:val="00DF79DE"/>
    <w:rsid w:val="00DF7BAD"/>
    <w:rsid w:val="00DF7C9E"/>
    <w:rsid w:val="00E006BC"/>
    <w:rsid w:val="00E0089D"/>
    <w:rsid w:val="00E00F84"/>
    <w:rsid w:val="00E012CE"/>
    <w:rsid w:val="00E016AE"/>
    <w:rsid w:val="00E017E9"/>
    <w:rsid w:val="00E01805"/>
    <w:rsid w:val="00E01DCA"/>
    <w:rsid w:val="00E01E4B"/>
    <w:rsid w:val="00E01E6C"/>
    <w:rsid w:val="00E02571"/>
    <w:rsid w:val="00E02612"/>
    <w:rsid w:val="00E02CC0"/>
    <w:rsid w:val="00E02EDF"/>
    <w:rsid w:val="00E02F1B"/>
    <w:rsid w:val="00E03051"/>
    <w:rsid w:val="00E0310F"/>
    <w:rsid w:val="00E03483"/>
    <w:rsid w:val="00E0355E"/>
    <w:rsid w:val="00E039AB"/>
    <w:rsid w:val="00E03FE6"/>
    <w:rsid w:val="00E04122"/>
    <w:rsid w:val="00E046FF"/>
    <w:rsid w:val="00E048DB"/>
    <w:rsid w:val="00E04A40"/>
    <w:rsid w:val="00E04F3F"/>
    <w:rsid w:val="00E05432"/>
    <w:rsid w:val="00E0543D"/>
    <w:rsid w:val="00E05634"/>
    <w:rsid w:val="00E05EE3"/>
    <w:rsid w:val="00E060DC"/>
    <w:rsid w:val="00E063FF"/>
    <w:rsid w:val="00E06486"/>
    <w:rsid w:val="00E06A08"/>
    <w:rsid w:val="00E06A8E"/>
    <w:rsid w:val="00E06D18"/>
    <w:rsid w:val="00E06DB2"/>
    <w:rsid w:val="00E071E8"/>
    <w:rsid w:val="00E07877"/>
    <w:rsid w:val="00E07A70"/>
    <w:rsid w:val="00E07CD8"/>
    <w:rsid w:val="00E07E31"/>
    <w:rsid w:val="00E07EA4"/>
    <w:rsid w:val="00E07F67"/>
    <w:rsid w:val="00E10297"/>
    <w:rsid w:val="00E1032C"/>
    <w:rsid w:val="00E10DAE"/>
    <w:rsid w:val="00E11611"/>
    <w:rsid w:val="00E11B86"/>
    <w:rsid w:val="00E11E8A"/>
    <w:rsid w:val="00E12112"/>
    <w:rsid w:val="00E1220C"/>
    <w:rsid w:val="00E122AB"/>
    <w:rsid w:val="00E12575"/>
    <w:rsid w:val="00E125DD"/>
    <w:rsid w:val="00E12ED9"/>
    <w:rsid w:val="00E13057"/>
    <w:rsid w:val="00E13256"/>
    <w:rsid w:val="00E134B0"/>
    <w:rsid w:val="00E13876"/>
    <w:rsid w:val="00E13A45"/>
    <w:rsid w:val="00E13CD6"/>
    <w:rsid w:val="00E14589"/>
    <w:rsid w:val="00E145D2"/>
    <w:rsid w:val="00E14963"/>
    <w:rsid w:val="00E14FFF"/>
    <w:rsid w:val="00E1513F"/>
    <w:rsid w:val="00E15394"/>
    <w:rsid w:val="00E154EC"/>
    <w:rsid w:val="00E15996"/>
    <w:rsid w:val="00E15A93"/>
    <w:rsid w:val="00E1629D"/>
    <w:rsid w:val="00E1675D"/>
    <w:rsid w:val="00E16E08"/>
    <w:rsid w:val="00E16E5D"/>
    <w:rsid w:val="00E1708C"/>
    <w:rsid w:val="00E1710C"/>
    <w:rsid w:val="00E171CB"/>
    <w:rsid w:val="00E1795B"/>
    <w:rsid w:val="00E179FD"/>
    <w:rsid w:val="00E17A1C"/>
    <w:rsid w:val="00E17D4A"/>
    <w:rsid w:val="00E203D5"/>
    <w:rsid w:val="00E20490"/>
    <w:rsid w:val="00E204D4"/>
    <w:rsid w:val="00E206EF"/>
    <w:rsid w:val="00E2081F"/>
    <w:rsid w:val="00E20A7B"/>
    <w:rsid w:val="00E20A9C"/>
    <w:rsid w:val="00E20B1D"/>
    <w:rsid w:val="00E20B38"/>
    <w:rsid w:val="00E2115F"/>
    <w:rsid w:val="00E212D6"/>
    <w:rsid w:val="00E21406"/>
    <w:rsid w:val="00E2146D"/>
    <w:rsid w:val="00E217B3"/>
    <w:rsid w:val="00E21872"/>
    <w:rsid w:val="00E21D60"/>
    <w:rsid w:val="00E21F2D"/>
    <w:rsid w:val="00E22222"/>
    <w:rsid w:val="00E222DA"/>
    <w:rsid w:val="00E22346"/>
    <w:rsid w:val="00E223D7"/>
    <w:rsid w:val="00E22530"/>
    <w:rsid w:val="00E228C2"/>
    <w:rsid w:val="00E229D5"/>
    <w:rsid w:val="00E22B5A"/>
    <w:rsid w:val="00E23404"/>
    <w:rsid w:val="00E23541"/>
    <w:rsid w:val="00E23971"/>
    <w:rsid w:val="00E23B44"/>
    <w:rsid w:val="00E23C56"/>
    <w:rsid w:val="00E24503"/>
    <w:rsid w:val="00E246FC"/>
    <w:rsid w:val="00E24911"/>
    <w:rsid w:val="00E25010"/>
    <w:rsid w:val="00E258F9"/>
    <w:rsid w:val="00E2598D"/>
    <w:rsid w:val="00E25AE8"/>
    <w:rsid w:val="00E25BC4"/>
    <w:rsid w:val="00E25C3C"/>
    <w:rsid w:val="00E25D19"/>
    <w:rsid w:val="00E25F08"/>
    <w:rsid w:val="00E2610B"/>
    <w:rsid w:val="00E26584"/>
    <w:rsid w:val="00E26645"/>
    <w:rsid w:val="00E26683"/>
    <w:rsid w:val="00E26D60"/>
    <w:rsid w:val="00E270A4"/>
    <w:rsid w:val="00E270B3"/>
    <w:rsid w:val="00E27636"/>
    <w:rsid w:val="00E27766"/>
    <w:rsid w:val="00E27A3E"/>
    <w:rsid w:val="00E27BC4"/>
    <w:rsid w:val="00E302AC"/>
    <w:rsid w:val="00E304C0"/>
    <w:rsid w:val="00E30765"/>
    <w:rsid w:val="00E307C7"/>
    <w:rsid w:val="00E309DE"/>
    <w:rsid w:val="00E30D42"/>
    <w:rsid w:val="00E30FA1"/>
    <w:rsid w:val="00E31050"/>
    <w:rsid w:val="00E3136C"/>
    <w:rsid w:val="00E31387"/>
    <w:rsid w:val="00E319F5"/>
    <w:rsid w:val="00E31FE7"/>
    <w:rsid w:val="00E32668"/>
    <w:rsid w:val="00E32E38"/>
    <w:rsid w:val="00E32E6E"/>
    <w:rsid w:val="00E339A5"/>
    <w:rsid w:val="00E33DDC"/>
    <w:rsid w:val="00E33E71"/>
    <w:rsid w:val="00E34431"/>
    <w:rsid w:val="00E34439"/>
    <w:rsid w:val="00E34566"/>
    <w:rsid w:val="00E345AE"/>
    <w:rsid w:val="00E34A13"/>
    <w:rsid w:val="00E34D6A"/>
    <w:rsid w:val="00E35B1C"/>
    <w:rsid w:val="00E35EBA"/>
    <w:rsid w:val="00E35F75"/>
    <w:rsid w:val="00E361E7"/>
    <w:rsid w:val="00E3628B"/>
    <w:rsid w:val="00E363DB"/>
    <w:rsid w:val="00E3675B"/>
    <w:rsid w:val="00E368D0"/>
    <w:rsid w:val="00E36930"/>
    <w:rsid w:val="00E36DA0"/>
    <w:rsid w:val="00E36F6C"/>
    <w:rsid w:val="00E371BF"/>
    <w:rsid w:val="00E37576"/>
    <w:rsid w:val="00E3778B"/>
    <w:rsid w:val="00E377D9"/>
    <w:rsid w:val="00E37A29"/>
    <w:rsid w:val="00E37BE2"/>
    <w:rsid w:val="00E37CBC"/>
    <w:rsid w:val="00E40304"/>
    <w:rsid w:val="00E407E6"/>
    <w:rsid w:val="00E409B9"/>
    <w:rsid w:val="00E40DE3"/>
    <w:rsid w:val="00E40F07"/>
    <w:rsid w:val="00E410F8"/>
    <w:rsid w:val="00E41791"/>
    <w:rsid w:val="00E41817"/>
    <w:rsid w:val="00E41D0A"/>
    <w:rsid w:val="00E42649"/>
    <w:rsid w:val="00E42C93"/>
    <w:rsid w:val="00E42FB0"/>
    <w:rsid w:val="00E431A2"/>
    <w:rsid w:val="00E433EA"/>
    <w:rsid w:val="00E434BD"/>
    <w:rsid w:val="00E43898"/>
    <w:rsid w:val="00E43979"/>
    <w:rsid w:val="00E43FF0"/>
    <w:rsid w:val="00E4411A"/>
    <w:rsid w:val="00E44319"/>
    <w:rsid w:val="00E4481D"/>
    <w:rsid w:val="00E44AEE"/>
    <w:rsid w:val="00E44ECE"/>
    <w:rsid w:val="00E4509B"/>
    <w:rsid w:val="00E45638"/>
    <w:rsid w:val="00E45729"/>
    <w:rsid w:val="00E458D1"/>
    <w:rsid w:val="00E46113"/>
    <w:rsid w:val="00E4619A"/>
    <w:rsid w:val="00E46884"/>
    <w:rsid w:val="00E46DFE"/>
    <w:rsid w:val="00E47418"/>
    <w:rsid w:val="00E476F6"/>
    <w:rsid w:val="00E47854"/>
    <w:rsid w:val="00E50786"/>
    <w:rsid w:val="00E50A13"/>
    <w:rsid w:val="00E50A3A"/>
    <w:rsid w:val="00E50A47"/>
    <w:rsid w:val="00E510D3"/>
    <w:rsid w:val="00E51203"/>
    <w:rsid w:val="00E513DC"/>
    <w:rsid w:val="00E5145D"/>
    <w:rsid w:val="00E5183D"/>
    <w:rsid w:val="00E51A3C"/>
    <w:rsid w:val="00E51EBC"/>
    <w:rsid w:val="00E522BE"/>
    <w:rsid w:val="00E52897"/>
    <w:rsid w:val="00E5295C"/>
    <w:rsid w:val="00E52971"/>
    <w:rsid w:val="00E52B32"/>
    <w:rsid w:val="00E52DDC"/>
    <w:rsid w:val="00E530E7"/>
    <w:rsid w:val="00E532B3"/>
    <w:rsid w:val="00E53543"/>
    <w:rsid w:val="00E53E57"/>
    <w:rsid w:val="00E542E1"/>
    <w:rsid w:val="00E54309"/>
    <w:rsid w:val="00E54AE3"/>
    <w:rsid w:val="00E54F19"/>
    <w:rsid w:val="00E54F55"/>
    <w:rsid w:val="00E552CE"/>
    <w:rsid w:val="00E55328"/>
    <w:rsid w:val="00E553AD"/>
    <w:rsid w:val="00E553F8"/>
    <w:rsid w:val="00E554C9"/>
    <w:rsid w:val="00E55A6F"/>
    <w:rsid w:val="00E55E52"/>
    <w:rsid w:val="00E562C8"/>
    <w:rsid w:val="00E56491"/>
    <w:rsid w:val="00E570A3"/>
    <w:rsid w:val="00E5717D"/>
    <w:rsid w:val="00E57444"/>
    <w:rsid w:val="00E57682"/>
    <w:rsid w:val="00E57B35"/>
    <w:rsid w:val="00E57E42"/>
    <w:rsid w:val="00E601D4"/>
    <w:rsid w:val="00E60213"/>
    <w:rsid w:val="00E60D79"/>
    <w:rsid w:val="00E60E1C"/>
    <w:rsid w:val="00E614D4"/>
    <w:rsid w:val="00E6165B"/>
    <w:rsid w:val="00E61696"/>
    <w:rsid w:val="00E61822"/>
    <w:rsid w:val="00E618C4"/>
    <w:rsid w:val="00E61F06"/>
    <w:rsid w:val="00E61F42"/>
    <w:rsid w:val="00E62272"/>
    <w:rsid w:val="00E6255D"/>
    <w:rsid w:val="00E625F1"/>
    <w:rsid w:val="00E6265C"/>
    <w:rsid w:val="00E62B68"/>
    <w:rsid w:val="00E630D7"/>
    <w:rsid w:val="00E6310B"/>
    <w:rsid w:val="00E63628"/>
    <w:rsid w:val="00E63773"/>
    <w:rsid w:val="00E6379F"/>
    <w:rsid w:val="00E63803"/>
    <w:rsid w:val="00E63997"/>
    <w:rsid w:val="00E63C9D"/>
    <w:rsid w:val="00E63CE7"/>
    <w:rsid w:val="00E63D4A"/>
    <w:rsid w:val="00E63F09"/>
    <w:rsid w:val="00E649B4"/>
    <w:rsid w:val="00E649CC"/>
    <w:rsid w:val="00E64A8C"/>
    <w:rsid w:val="00E64B5D"/>
    <w:rsid w:val="00E64DF9"/>
    <w:rsid w:val="00E657BD"/>
    <w:rsid w:val="00E65998"/>
    <w:rsid w:val="00E65BD5"/>
    <w:rsid w:val="00E65C4D"/>
    <w:rsid w:val="00E65C85"/>
    <w:rsid w:val="00E65D1C"/>
    <w:rsid w:val="00E65DA5"/>
    <w:rsid w:val="00E65E43"/>
    <w:rsid w:val="00E6629A"/>
    <w:rsid w:val="00E664F4"/>
    <w:rsid w:val="00E666C8"/>
    <w:rsid w:val="00E666CA"/>
    <w:rsid w:val="00E669B2"/>
    <w:rsid w:val="00E66C83"/>
    <w:rsid w:val="00E66FF2"/>
    <w:rsid w:val="00E67054"/>
    <w:rsid w:val="00E6776A"/>
    <w:rsid w:val="00E67C52"/>
    <w:rsid w:val="00E7039C"/>
    <w:rsid w:val="00E7055F"/>
    <w:rsid w:val="00E7059C"/>
    <w:rsid w:val="00E70908"/>
    <w:rsid w:val="00E7139D"/>
    <w:rsid w:val="00E71B9C"/>
    <w:rsid w:val="00E72173"/>
    <w:rsid w:val="00E72226"/>
    <w:rsid w:val="00E726E8"/>
    <w:rsid w:val="00E72AEA"/>
    <w:rsid w:val="00E73E21"/>
    <w:rsid w:val="00E73EE1"/>
    <w:rsid w:val="00E74065"/>
    <w:rsid w:val="00E741F4"/>
    <w:rsid w:val="00E744CF"/>
    <w:rsid w:val="00E745BE"/>
    <w:rsid w:val="00E7485D"/>
    <w:rsid w:val="00E749DC"/>
    <w:rsid w:val="00E75187"/>
    <w:rsid w:val="00E75410"/>
    <w:rsid w:val="00E7543B"/>
    <w:rsid w:val="00E7564D"/>
    <w:rsid w:val="00E75728"/>
    <w:rsid w:val="00E75789"/>
    <w:rsid w:val="00E76099"/>
    <w:rsid w:val="00E762F8"/>
    <w:rsid w:val="00E76349"/>
    <w:rsid w:val="00E7657C"/>
    <w:rsid w:val="00E76BC6"/>
    <w:rsid w:val="00E76E48"/>
    <w:rsid w:val="00E7722C"/>
    <w:rsid w:val="00E77303"/>
    <w:rsid w:val="00E773D6"/>
    <w:rsid w:val="00E7755A"/>
    <w:rsid w:val="00E77646"/>
    <w:rsid w:val="00E77A3A"/>
    <w:rsid w:val="00E77E26"/>
    <w:rsid w:val="00E77EE7"/>
    <w:rsid w:val="00E77EFA"/>
    <w:rsid w:val="00E77F75"/>
    <w:rsid w:val="00E8028E"/>
    <w:rsid w:val="00E80A17"/>
    <w:rsid w:val="00E811F8"/>
    <w:rsid w:val="00E825EE"/>
    <w:rsid w:val="00E827CC"/>
    <w:rsid w:val="00E82E09"/>
    <w:rsid w:val="00E82ECE"/>
    <w:rsid w:val="00E83257"/>
    <w:rsid w:val="00E83696"/>
    <w:rsid w:val="00E838FC"/>
    <w:rsid w:val="00E83F44"/>
    <w:rsid w:val="00E84B6D"/>
    <w:rsid w:val="00E84FA9"/>
    <w:rsid w:val="00E854AF"/>
    <w:rsid w:val="00E85812"/>
    <w:rsid w:val="00E85A06"/>
    <w:rsid w:val="00E85A98"/>
    <w:rsid w:val="00E85CF4"/>
    <w:rsid w:val="00E85E5B"/>
    <w:rsid w:val="00E85EC6"/>
    <w:rsid w:val="00E8677B"/>
    <w:rsid w:val="00E86A68"/>
    <w:rsid w:val="00E86DB5"/>
    <w:rsid w:val="00E86F7F"/>
    <w:rsid w:val="00E87168"/>
    <w:rsid w:val="00E87AB5"/>
    <w:rsid w:val="00E87BC5"/>
    <w:rsid w:val="00E90462"/>
    <w:rsid w:val="00E904FA"/>
    <w:rsid w:val="00E90654"/>
    <w:rsid w:val="00E90B47"/>
    <w:rsid w:val="00E90FAD"/>
    <w:rsid w:val="00E912CC"/>
    <w:rsid w:val="00E915FA"/>
    <w:rsid w:val="00E918AC"/>
    <w:rsid w:val="00E91AC9"/>
    <w:rsid w:val="00E91D10"/>
    <w:rsid w:val="00E91E80"/>
    <w:rsid w:val="00E91F39"/>
    <w:rsid w:val="00E9269A"/>
    <w:rsid w:val="00E92A99"/>
    <w:rsid w:val="00E935DC"/>
    <w:rsid w:val="00E9367E"/>
    <w:rsid w:val="00E937D3"/>
    <w:rsid w:val="00E937FD"/>
    <w:rsid w:val="00E93973"/>
    <w:rsid w:val="00E93C7A"/>
    <w:rsid w:val="00E93FAA"/>
    <w:rsid w:val="00E9410D"/>
    <w:rsid w:val="00E94950"/>
    <w:rsid w:val="00E94BFA"/>
    <w:rsid w:val="00E95380"/>
    <w:rsid w:val="00E95C25"/>
    <w:rsid w:val="00E95E0E"/>
    <w:rsid w:val="00E95F82"/>
    <w:rsid w:val="00E96388"/>
    <w:rsid w:val="00E965AC"/>
    <w:rsid w:val="00E96E42"/>
    <w:rsid w:val="00E9703E"/>
    <w:rsid w:val="00E972B5"/>
    <w:rsid w:val="00E972CA"/>
    <w:rsid w:val="00E973C3"/>
    <w:rsid w:val="00E97450"/>
    <w:rsid w:val="00E974BC"/>
    <w:rsid w:val="00E97C7F"/>
    <w:rsid w:val="00E97F31"/>
    <w:rsid w:val="00E97F9C"/>
    <w:rsid w:val="00EA0089"/>
    <w:rsid w:val="00EA052C"/>
    <w:rsid w:val="00EA0929"/>
    <w:rsid w:val="00EA09AC"/>
    <w:rsid w:val="00EA0EA9"/>
    <w:rsid w:val="00EA0EC5"/>
    <w:rsid w:val="00EA0EDF"/>
    <w:rsid w:val="00EA14A1"/>
    <w:rsid w:val="00EA15AE"/>
    <w:rsid w:val="00EA1622"/>
    <w:rsid w:val="00EA1813"/>
    <w:rsid w:val="00EA208D"/>
    <w:rsid w:val="00EA20CF"/>
    <w:rsid w:val="00EA24FE"/>
    <w:rsid w:val="00EA255C"/>
    <w:rsid w:val="00EA2780"/>
    <w:rsid w:val="00EA2AF4"/>
    <w:rsid w:val="00EA2BD8"/>
    <w:rsid w:val="00EA32C5"/>
    <w:rsid w:val="00EA3403"/>
    <w:rsid w:val="00EA347A"/>
    <w:rsid w:val="00EA3693"/>
    <w:rsid w:val="00EA36DB"/>
    <w:rsid w:val="00EA3BBE"/>
    <w:rsid w:val="00EA3CA1"/>
    <w:rsid w:val="00EA3D77"/>
    <w:rsid w:val="00EA4569"/>
    <w:rsid w:val="00EA4B91"/>
    <w:rsid w:val="00EA4BD0"/>
    <w:rsid w:val="00EA4C2F"/>
    <w:rsid w:val="00EA5286"/>
    <w:rsid w:val="00EA532B"/>
    <w:rsid w:val="00EA5D90"/>
    <w:rsid w:val="00EA5EC3"/>
    <w:rsid w:val="00EA62F7"/>
    <w:rsid w:val="00EA631E"/>
    <w:rsid w:val="00EA6363"/>
    <w:rsid w:val="00EA6C20"/>
    <w:rsid w:val="00EA6DE7"/>
    <w:rsid w:val="00EA6E17"/>
    <w:rsid w:val="00EA70EF"/>
    <w:rsid w:val="00EA7221"/>
    <w:rsid w:val="00EA72DB"/>
    <w:rsid w:val="00EA74DB"/>
    <w:rsid w:val="00EA772C"/>
    <w:rsid w:val="00EA7B96"/>
    <w:rsid w:val="00EA7C1A"/>
    <w:rsid w:val="00EB0A0A"/>
    <w:rsid w:val="00EB0B21"/>
    <w:rsid w:val="00EB0B66"/>
    <w:rsid w:val="00EB1114"/>
    <w:rsid w:val="00EB1208"/>
    <w:rsid w:val="00EB1586"/>
    <w:rsid w:val="00EB15DA"/>
    <w:rsid w:val="00EB1B8B"/>
    <w:rsid w:val="00EB1C29"/>
    <w:rsid w:val="00EB1CC5"/>
    <w:rsid w:val="00EB20A1"/>
    <w:rsid w:val="00EB25EE"/>
    <w:rsid w:val="00EB26F7"/>
    <w:rsid w:val="00EB2B9B"/>
    <w:rsid w:val="00EB314F"/>
    <w:rsid w:val="00EB3288"/>
    <w:rsid w:val="00EB360A"/>
    <w:rsid w:val="00EB38A7"/>
    <w:rsid w:val="00EB3A8B"/>
    <w:rsid w:val="00EB3B50"/>
    <w:rsid w:val="00EB3E05"/>
    <w:rsid w:val="00EB3ED4"/>
    <w:rsid w:val="00EB41C9"/>
    <w:rsid w:val="00EB4543"/>
    <w:rsid w:val="00EB4812"/>
    <w:rsid w:val="00EB4915"/>
    <w:rsid w:val="00EB4E91"/>
    <w:rsid w:val="00EB4EE7"/>
    <w:rsid w:val="00EB53AC"/>
    <w:rsid w:val="00EB5525"/>
    <w:rsid w:val="00EB586B"/>
    <w:rsid w:val="00EB5A0C"/>
    <w:rsid w:val="00EB5A4A"/>
    <w:rsid w:val="00EB5BCC"/>
    <w:rsid w:val="00EB5E7D"/>
    <w:rsid w:val="00EB701A"/>
    <w:rsid w:val="00EB71D2"/>
    <w:rsid w:val="00EB7B04"/>
    <w:rsid w:val="00EB7B5C"/>
    <w:rsid w:val="00EB7D46"/>
    <w:rsid w:val="00EC0186"/>
    <w:rsid w:val="00EC086B"/>
    <w:rsid w:val="00EC09F2"/>
    <w:rsid w:val="00EC1194"/>
    <w:rsid w:val="00EC1B0B"/>
    <w:rsid w:val="00EC1C51"/>
    <w:rsid w:val="00EC1D97"/>
    <w:rsid w:val="00EC1F9C"/>
    <w:rsid w:val="00EC208B"/>
    <w:rsid w:val="00EC2538"/>
    <w:rsid w:val="00EC2AE3"/>
    <w:rsid w:val="00EC2DF3"/>
    <w:rsid w:val="00EC3703"/>
    <w:rsid w:val="00EC390A"/>
    <w:rsid w:val="00EC3BFF"/>
    <w:rsid w:val="00EC3D28"/>
    <w:rsid w:val="00EC3DAE"/>
    <w:rsid w:val="00EC456A"/>
    <w:rsid w:val="00EC4687"/>
    <w:rsid w:val="00EC4997"/>
    <w:rsid w:val="00EC4AD6"/>
    <w:rsid w:val="00EC4B78"/>
    <w:rsid w:val="00EC4EC9"/>
    <w:rsid w:val="00EC4FC8"/>
    <w:rsid w:val="00EC5816"/>
    <w:rsid w:val="00EC594A"/>
    <w:rsid w:val="00EC59A5"/>
    <w:rsid w:val="00EC5AAC"/>
    <w:rsid w:val="00EC5B68"/>
    <w:rsid w:val="00EC5B96"/>
    <w:rsid w:val="00EC5FF7"/>
    <w:rsid w:val="00EC654E"/>
    <w:rsid w:val="00EC6DEF"/>
    <w:rsid w:val="00EC6E79"/>
    <w:rsid w:val="00EC703B"/>
    <w:rsid w:val="00EC7364"/>
    <w:rsid w:val="00EC741A"/>
    <w:rsid w:val="00EC7477"/>
    <w:rsid w:val="00EC7AB9"/>
    <w:rsid w:val="00EC7F6A"/>
    <w:rsid w:val="00ED0376"/>
    <w:rsid w:val="00ED03CA"/>
    <w:rsid w:val="00ED097B"/>
    <w:rsid w:val="00ED0BD0"/>
    <w:rsid w:val="00ED0D34"/>
    <w:rsid w:val="00ED0E8B"/>
    <w:rsid w:val="00ED11BA"/>
    <w:rsid w:val="00ED1468"/>
    <w:rsid w:val="00ED1710"/>
    <w:rsid w:val="00ED1E8A"/>
    <w:rsid w:val="00ED2284"/>
    <w:rsid w:val="00ED29C7"/>
    <w:rsid w:val="00ED324B"/>
    <w:rsid w:val="00ED35BB"/>
    <w:rsid w:val="00ED3B02"/>
    <w:rsid w:val="00ED3C46"/>
    <w:rsid w:val="00ED4099"/>
    <w:rsid w:val="00ED4316"/>
    <w:rsid w:val="00ED45C2"/>
    <w:rsid w:val="00ED5012"/>
    <w:rsid w:val="00ED518B"/>
    <w:rsid w:val="00ED5552"/>
    <w:rsid w:val="00ED5A1D"/>
    <w:rsid w:val="00ED5B3F"/>
    <w:rsid w:val="00ED5F46"/>
    <w:rsid w:val="00ED5FB2"/>
    <w:rsid w:val="00ED63E9"/>
    <w:rsid w:val="00ED656A"/>
    <w:rsid w:val="00ED6811"/>
    <w:rsid w:val="00ED68C2"/>
    <w:rsid w:val="00ED6B32"/>
    <w:rsid w:val="00ED6BB9"/>
    <w:rsid w:val="00ED6F0A"/>
    <w:rsid w:val="00ED74D2"/>
    <w:rsid w:val="00ED7A2C"/>
    <w:rsid w:val="00ED7AFF"/>
    <w:rsid w:val="00ED7C8E"/>
    <w:rsid w:val="00ED7D49"/>
    <w:rsid w:val="00EE0182"/>
    <w:rsid w:val="00EE06DD"/>
    <w:rsid w:val="00EE087C"/>
    <w:rsid w:val="00EE09AF"/>
    <w:rsid w:val="00EE09BA"/>
    <w:rsid w:val="00EE0DE1"/>
    <w:rsid w:val="00EE1421"/>
    <w:rsid w:val="00EE159D"/>
    <w:rsid w:val="00EE185C"/>
    <w:rsid w:val="00EE1BA1"/>
    <w:rsid w:val="00EE1C01"/>
    <w:rsid w:val="00EE22B6"/>
    <w:rsid w:val="00EE252F"/>
    <w:rsid w:val="00EE25D5"/>
    <w:rsid w:val="00EE267E"/>
    <w:rsid w:val="00EE2706"/>
    <w:rsid w:val="00EE2850"/>
    <w:rsid w:val="00EE2C5F"/>
    <w:rsid w:val="00EE2C67"/>
    <w:rsid w:val="00EE2DA9"/>
    <w:rsid w:val="00EE2EFB"/>
    <w:rsid w:val="00EE3827"/>
    <w:rsid w:val="00EE3A3D"/>
    <w:rsid w:val="00EE3B3C"/>
    <w:rsid w:val="00EE3B75"/>
    <w:rsid w:val="00EE4323"/>
    <w:rsid w:val="00EE4461"/>
    <w:rsid w:val="00EE48F6"/>
    <w:rsid w:val="00EE4927"/>
    <w:rsid w:val="00EE4B86"/>
    <w:rsid w:val="00EE4CEC"/>
    <w:rsid w:val="00EE4EC5"/>
    <w:rsid w:val="00EE4FD1"/>
    <w:rsid w:val="00EE51DD"/>
    <w:rsid w:val="00EE5245"/>
    <w:rsid w:val="00EE5447"/>
    <w:rsid w:val="00EE59DC"/>
    <w:rsid w:val="00EE5E91"/>
    <w:rsid w:val="00EE616B"/>
    <w:rsid w:val="00EE61C4"/>
    <w:rsid w:val="00EE62F8"/>
    <w:rsid w:val="00EE6618"/>
    <w:rsid w:val="00EE66BF"/>
    <w:rsid w:val="00EE6A89"/>
    <w:rsid w:val="00EE6AB4"/>
    <w:rsid w:val="00EE6B8A"/>
    <w:rsid w:val="00EE6EE0"/>
    <w:rsid w:val="00EE70FF"/>
    <w:rsid w:val="00EE723A"/>
    <w:rsid w:val="00EE7606"/>
    <w:rsid w:val="00EE7645"/>
    <w:rsid w:val="00EE7B70"/>
    <w:rsid w:val="00EE7B9B"/>
    <w:rsid w:val="00EE7E24"/>
    <w:rsid w:val="00EF0001"/>
    <w:rsid w:val="00EF0173"/>
    <w:rsid w:val="00EF06B3"/>
    <w:rsid w:val="00EF07BB"/>
    <w:rsid w:val="00EF0803"/>
    <w:rsid w:val="00EF0C9A"/>
    <w:rsid w:val="00EF1287"/>
    <w:rsid w:val="00EF12E7"/>
    <w:rsid w:val="00EF1380"/>
    <w:rsid w:val="00EF13AC"/>
    <w:rsid w:val="00EF191F"/>
    <w:rsid w:val="00EF1B3E"/>
    <w:rsid w:val="00EF1DE9"/>
    <w:rsid w:val="00EF1ED1"/>
    <w:rsid w:val="00EF22C9"/>
    <w:rsid w:val="00EF2470"/>
    <w:rsid w:val="00EF2B2E"/>
    <w:rsid w:val="00EF2C0C"/>
    <w:rsid w:val="00EF325B"/>
    <w:rsid w:val="00EF341C"/>
    <w:rsid w:val="00EF35CF"/>
    <w:rsid w:val="00EF3B46"/>
    <w:rsid w:val="00EF3F43"/>
    <w:rsid w:val="00EF3F44"/>
    <w:rsid w:val="00EF3FA5"/>
    <w:rsid w:val="00EF4114"/>
    <w:rsid w:val="00EF41A3"/>
    <w:rsid w:val="00EF42E1"/>
    <w:rsid w:val="00EF4471"/>
    <w:rsid w:val="00EF44C9"/>
    <w:rsid w:val="00EF494B"/>
    <w:rsid w:val="00EF4C65"/>
    <w:rsid w:val="00EF4D07"/>
    <w:rsid w:val="00EF4DDA"/>
    <w:rsid w:val="00EF4F8E"/>
    <w:rsid w:val="00EF4FDA"/>
    <w:rsid w:val="00EF5289"/>
    <w:rsid w:val="00EF546E"/>
    <w:rsid w:val="00EF5620"/>
    <w:rsid w:val="00EF5AA6"/>
    <w:rsid w:val="00EF5D92"/>
    <w:rsid w:val="00EF6480"/>
    <w:rsid w:val="00EF6494"/>
    <w:rsid w:val="00EF659E"/>
    <w:rsid w:val="00EF69DD"/>
    <w:rsid w:val="00EF6E86"/>
    <w:rsid w:val="00EF6FA6"/>
    <w:rsid w:val="00EF6FBA"/>
    <w:rsid w:val="00EF7408"/>
    <w:rsid w:val="00EF7AA9"/>
    <w:rsid w:val="00EF7F28"/>
    <w:rsid w:val="00F00048"/>
    <w:rsid w:val="00F001B6"/>
    <w:rsid w:val="00F0040E"/>
    <w:rsid w:val="00F0044A"/>
    <w:rsid w:val="00F00D15"/>
    <w:rsid w:val="00F00F72"/>
    <w:rsid w:val="00F01323"/>
    <w:rsid w:val="00F01604"/>
    <w:rsid w:val="00F02101"/>
    <w:rsid w:val="00F0274D"/>
    <w:rsid w:val="00F02E1F"/>
    <w:rsid w:val="00F03268"/>
    <w:rsid w:val="00F03403"/>
    <w:rsid w:val="00F03853"/>
    <w:rsid w:val="00F038AD"/>
    <w:rsid w:val="00F03C8D"/>
    <w:rsid w:val="00F03CB5"/>
    <w:rsid w:val="00F04454"/>
    <w:rsid w:val="00F04486"/>
    <w:rsid w:val="00F045E8"/>
    <w:rsid w:val="00F0482E"/>
    <w:rsid w:val="00F04C73"/>
    <w:rsid w:val="00F04CFC"/>
    <w:rsid w:val="00F04DD8"/>
    <w:rsid w:val="00F0516C"/>
    <w:rsid w:val="00F055CF"/>
    <w:rsid w:val="00F05719"/>
    <w:rsid w:val="00F05A05"/>
    <w:rsid w:val="00F05A7B"/>
    <w:rsid w:val="00F05F6F"/>
    <w:rsid w:val="00F05F93"/>
    <w:rsid w:val="00F060F9"/>
    <w:rsid w:val="00F06445"/>
    <w:rsid w:val="00F0696D"/>
    <w:rsid w:val="00F06B5B"/>
    <w:rsid w:val="00F06E32"/>
    <w:rsid w:val="00F07156"/>
    <w:rsid w:val="00F071DF"/>
    <w:rsid w:val="00F0734C"/>
    <w:rsid w:val="00F075DE"/>
    <w:rsid w:val="00F07758"/>
    <w:rsid w:val="00F07BAF"/>
    <w:rsid w:val="00F07C60"/>
    <w:rsid w:val="00F07D1A"/>
    <w:rsid w:val="00F07E86"/>
    <w:rsid w:val="00F1032A"/>
    <w:rsid w:val="00F10498"/>
    <w:rsid w:val="00F10AFB"/>
    <w:rsid w:val="00F10CE0"/>
    <w:rsid w:val="00F10EA5"/>
    <w:rsid w:val="00F11046"/>
    <w:rsid w:val="00F11208"/>
    <w:rsid w:val="00F112CC"/>
    <w:rsid w:val="00F11C5F"/>
    <w:rsid w:val="00F12097"/>
    <w:rsid w:val="00F12413"/>
    <w:rsid w:val="00F124EE"/>
    <w:rsid w:val="00F125F5"/>
    <w:rsid w:val="00F13462"/>
    <w:rsid w:val="00F13503"/>
    <w:rsid w:val="00F138A9"/>
    <w:rsid w:val="00F13A9C"/>
    <w:rsid w:val="00F13C24"/>
    <w:rsid w:val="00F13EB1"/>
    <w:rsid w:val="00F1430F"/>
    <w:rsid w:val="00F14764"/>
    <w:rsid w:val="00F148AA"/>
    <w:rsid w:val="00F14BD7"/>
    <w:rsid w:val="00F15009"/>
    <w:rsid w:val="00F152C9"/>
    <w:rsid w:val="00F152E9"/>
    <w:rsid w:val="00F15565"/>
    <w:rsid w:val="00F15BBF"/>
    <w:rsid w:val="00F1643F"/>
    <w:rsid w:val="00F16484"/>
    <w:rsid w:val="00F16587"/>
    <w:rsid w:val="00F17736"/>
    <w:rsid w:val="00F17778"/>
    <w:rsid w:val="00F17C32"/>
    <w:rsid w:val="00F20162"/>
    <w:rsid w:val="00F20452"/>
    <w:rsid w:val="00F204AD"/>
    <w:rsid w:val="00F2063E"/>
    <w:rsid w:val="00F2088E"/>
    <w:rsid w:val="00F20AD1"/>
    <w:rsid w:val="00F20C27"/>
    <w:rsid w:val="00F20D8D"/>
    <w:rsid w:val="00F20D92"/>
    <w:rsid w:val="00F213A4"/>
    <w:rsid w:val="00F21B16"/>
    <w:rsid w:val="00F21BB9"/>
    <w:rsid w:val="00F21FF9"/>
    <w:rsid w:val="00F2202C"/>
    <w:rsid w:val="00F2242F"/>
    <w:rsid w:val="00F229F9"/>
    <w:rsid w:val="00F22D46"/>
    <w:rsid w:val="00F22DB8"/>
    <w:rsid w:val="00F238E1"/>
    <w:rsid w:val="00F23DE3"/>
    <w:rsid w:val="00F241F3"/>
    <w:rsid w:val="00F242E3"/>
    <w:rsid w:val="00F2449C"/>
    <w:rsid w:val="00F244DB"/>
    <w:rsid w:val="00F251B1"/>
    <w:rsid w:val="00F25239"/>
    <w:rsid w:val="00F252F4"/>
    <w:rsid w:val="00F254D6"/>
    <w:rsid w:val="00F2551F"/>
    <w:rsid w:val="00F259C1"/>
    <w:rsid w:val="00F26029"/>
    <w:rsid w:val="00F26A7D"/>
    <w:rsid w:val="00F26D80"/>
    <w:rsid w:val="00F26D9A"/>
    <w:rsid w:val="00F26E54"/>
    <w:rsid w:val="00F27071"/>
    <w:rsid w:val="00F270C6"/>
    <w:rsid w:val="00F2731A"/>
    <w:rsid w:val="00F2733B"/>
    <w:rsid w:val="00F274C0"/>
    <w:rsid w:val="00F278E7"/>
    <w:rsid w:val="00F27927"/>
    <w:rsid w:val="00F27A05"/>
    <w:rsid w:val="00F27AF5"/>
    <w:rsid w:val="00F27BA9"/>
    <w:rsid w:val="00F30076"/>
    <w:rsid w:val="00F30B1B"/>
    <w:rsid w:val="00F30C94"/>
    <w:rsid w:val="00F30DD2"/>
    <w:rsid w:val="00F31467"/>
    <w:rsid w:val="00F31608"/>
    <w:rsid w:val="00F31B63"/>
    <w:rsid w:val="00F31F81"/>
    <w:rsid w:val="00F320B7"/>
    <w:rsid w:val="00F32219"/>
    <w:rsid w:val="00F32401"/>
    <w:rsid w:val="00F32662"/>
    <w:rsid w:val="00F32B43"/>
    <w:rsid w:val="00F32B56"/>
    <w:rsid w:val="00F332AB"/>
    <w:rsid w:val="00F3335D"/>
    <w:rsid w:val="00F33A7B"/>
    <w:rsid w:val="00F33D9A"/>
    <w:rsid w:val="00F33EB5"/>
    <w:rsid w:val="00F340A9"/>
    <w:rsid w:val="00F3429B"/>
    <w:rsid w:val="00F342A8"/>
    <w:rsid w:val="00F342DA"/>
    <w:rsid w:val="00F3474C"/>
    <w:rsid w:val="00F3489D"/>
    <w:rsid w:val="00F34B8F"/>
    <w:rsid w:val="00F34EA9"/>
    <w:rsid w:val="00F34F10"/>
    <w:rsid w:val="00F3548D"/>
    <w:rsid w:val="00F35565"/>
    <w:rsid w:val="00F359B4"/>
    <w:rsid w:val="00F35A16"/>
    <w:rsid w:val="00F35D3F"/>
    <w:rsid w:val="00F35EAD"/>
    <w:rsid w:val="00F36916"/>
    <w:rsid w:val="00F36F17"/>
    <w:rsid w:val="00F37334"/>
    <w:rsid w:val="00F374E7"/>
    <w:rsid w:val="00F37578"/>
    <w:rsid w:val="00F37636"/>
    <w:rsid w:val="00F376F2"/>
    <w:rsid w:val="00F37A9A"/>
    <w:rsid w:val="00F37AFD"/>
    <w:rsid w:val="00F37EF6"/>
    <w:rsid w:val="00F402D1"/>
    <w:rsid w:val="00F40546"/>
    <w:rsid w:val="00F40688"/>
    <w:rsid w:val="00F406C6"/>
    <w:rsid w:val="00F40898"/>
    <w:rsid w:val="00F40B99"/>
    <w:rsid w:val="00F4143E"/>
    <w:rsid w:val="00F41517"/>
    <w:rsid w:val="00F419C5"/>
    <w:rsid w:val="00F41F3B"/>
    <w:rsid w:val="00F420B5"/>
    <w:rsid w:val="00F423FC"/>
    <w:rsid w:val="00F4256C"/>
    <w:rsid w:val="00F43050"/>
    <w:rsid w:val="00F43285"/>
    <w:rsid w:val="00F433B4"/>
    <w:rsid w:val="00F433C9"/>
    <w:rsid w:val="00F437E8"/>
    <w:rsid w:val="00F43A45"/>
    <w:rsid w:val="00F448A7"/>
    <w:rsid w:val="00F44BB3"/>
    <w:rsid w:val="00F454A0"/>
    <w:rsid w:val="00F45625"/>
    <w:rsid w:val="00F45670"/>
    <w:rsid w:val="00F45A9F"/>
    <w:rsid w:val="00F460C2"/>
    <w:rsid w:val="00F4640E"/>
    <w:rsid w:val="00F46504"/>
    <w:rsid w:val="00F467C7"/>
    <w:rsid w:val="00F4681F"/>
    <w:rsid w:val="00F46969"/>
    <w:rsid w:val="00F46DC8"/>
    <w:rsid w:val="00F46EA4"/>
    <w:rsid w:val="00F46F7E"/>
    <w:rsid w:val="00F470DA"/>
    <w:rsid w:val="00F5036B"/>
    <w:rsid w:val="00F5060D"/>
    <w:rsid w:val="00F50BD8"/>
    <w:rsid w:val="00F50D94"/>
    <w:rsid w:val="00F50F41"/>
    <w:rsid w:val="00F510E1"/>
    <w:rsid w:val="00F51232"/>
    <w:rsid w:val="00F5126A"/>
    <w:rsid w:val="00F51B7B"/>
    <w:rsid w:val="00F51BD7"/>
    <w:rsid w:val="00F51C1B"/>
    <w:rsid w:val="00F51DCB"/>
    <w:rsid w:val="00F51E53"/>
    <w:rsid w:val="00F52D62"/>
    <w:rsid w:val="00F52F66"/>
    <w:rsid w:val="00F52F94"/>
    <w:rsid w:val="00F533DE"/>
    <w:rsid w:val="00F5359B"/>
    <w:rsid w:val="00F535CE"/>
    <w:rsid w:val="00F5368C"/>
    <w:rsid w:val="00F5388B"/>
    <w:rsid w:val="00F53A59"/>
    <w:rsid w:val="00F53DF0"/>
    <w:rsid w:val="00F53E94"/>
    <w:rsid w:val="00F5448C"/>
    <w:rsid w:val="00F5486C"/>
    <w:rsid w:val="00F548DA"/>
    <w:rsid w:val="00F54988"/>
    <w:rsid w:val="00F549A5"/>
    <w:rsid w:val="00F54FF0"/>
    <w:rsid w:val="00F55565"/>
    <w:rsid w:val="00F55607"/>
    <w:rsid w:val="00F5569D"/>
    <w:rsid w:val="00F5595C"/>
    <w:rsid w:val="00F55D93"/>
    <w:rsid w:val="00F5623A"/>
    <w:rsid w:val="00F56332"/>
    <w:rsid w:val="00F56581"/>
    <w:rsid w:val="00F56682"/>
    <w:rsid w:val="00F566C5"/>
    <w:rsid w:val="00F5670C"/>
    <w:rsid w:val="00F56CBA"/>
    <w:rsid w:val="00F5703B"/>
    <w:rsid w:val="00F57169"/>
    <w:rsid w:val="00F60182"/>
    <w:rsid w:val="00F60421"/>
    <w:rsid w:val="00F6043B"/>
    <w:rsid w:val="00F60647"/>
    <w:rsid w:val="00F608E3"/>
    <w:rsid w:val="00F609AB"/>
    <w:rsid w:val="00F60BB7"/>
    <w:rsid w:val="00F60D89"/>
    <w:rsid w:val="00F60F25"/>
    <w:rsid w:val="00F61248"/>
    <w:rsid w:val="00F612E9"/>
    <w:rsid w:val="00F61569"/>
    <w:rsid w:val="00F616B5"/>
    <w:rsid w:val="00F61D6D"/>
    <w:rsid w:val="00F61EDC"/>
    <w:rsid w:val="00F61FD7"/>
    <w:rsid w:val="00F6202E"/>
    <w:rsid w:val="00F623A2"/>
    <w:rsid w:val="00F62477"/>
    <w:rsid w:val="00F62BDB"/>
    <w:rsid w:val="00F62F18"/>
    <w:rsid w:val="00F63576"/>
    <w:rsid w:val="00F637C0"/>
    <w:rsid w:val="00F63D29"/>
    <w:rsid w:val="00F64274"/>
    <w:rsid w:val="00F64438"/>
    <w:rsid w:val="00F64591"/>
    <w:rsid w:val="00F6498A"/>
    <w:rsid w:val="00F64B63"/>
    <w:rsid w:val="00F65087"/>
    <w:rsid w:val="00F653D0"/>
    <w:rsid w:val="00F65576"/>
    <w:rsid w:val="00F6574B"/>
    <w:rsid w:val="00F65E4C"/>
    <w:rsid w:val="00F65E71"/>
    <w:rsid w:val="00F65F81"/>
    <w:rsid w:val="00F66771"/>
    <w:rsid w:val="00F667DF"/>
    <w:rsid w:val="00F66A4C"/>
    <w:rsid w:val="00F66F44"/>
    <w:rsid w:val="00F66F62"/>
    <w:rsid w:val="00F67194"/>
    <w:rsid w:val="00F67197"/>
    <w:rsid w:val="00F675AB"/>
    <w:rsid w:val="00F67B06"/>
    <w:rsid w:val="00F67C8C"/>
    <w:rsid w:val="00F701D9"/>
    <w:rsid w:val="00F70213"/>
    <w:rsid w:val="00F7043A"/>
    <w:rsid w:val="00F7075A"/>
    <w:rsid w:val="00F708A5"/>
    <w:rsid w:val="00F7127B"/>
    <w:rsid w:val="00F712A1"/>
    <w:rsid w:val="00F71B92"/>
    <w:rsid w:val="00F71D2A"/>
    <w:rsid w:val="00F71EB4"/>
    <w:rsid w:val="00F71F9A"/>
    <w:rsid w:val="00F720A3"/>
    <w:rsid w:val="00F72AC0"/>
    <w:rsid w:val="00F72E18"/>
    <w:rsid w:val="00F72E85"/>
    <w:rsid w:val="00F7301C"/>
    <w:rsid w:val="00F73506"/>
    <w:rsid w:val="00F73568"/>
    <w:rsid w:val="00F735E1"/>
    <w:rsid w:val="00F738B4"/>
    <w:rsid w:val="00F73CA6"/>
    <w:rsid w:val="00F73F9B"/>
    <w:rsid w:val="00F7400B"/>
    <w:rsid w:val="00F7425A"/>
    <w:rsid w:val="00F744EA"/>
    <w:rsid w:val="00F74621"/>
    <w:rsid w:val="00F74F80"/>
    <w:rsid w:val="00F75084"/>
    <w:rsid w:val="00F750E9"/>
    <w:rsid w:val="00F75DBA"/>
    <w:rsid w:val="00F75DE8"/>
    <w:rsid w:val="00F75ED2"/>
    <w:rsid w:val="00F76174"/>
    <w:rsid w:val="00F76237"/>
    <w:rsid w:val="00F76837"/>
    <w:rsid w:val="00F76BE2"/>
    <w:rsid w:val="00F76DC0"/>
    <w:rsid w:val="00F7726B"/>
    <w:rsid w:val="00F77322"/>
    <w:rsid w:val="00F778DD"/>
    <w:rsid w:val="00F779A0"/>
    <w:rsid w:val="00F77C75"/>
    <w:rsid w:val="00F77D18"/>
    <w:rsid w:val="00F80187"/>
    <w:rsid w:val="00F803B8"/>
    <w:rsid w:val="00F8048A"/>
    <w:rsid w:val="00F8094F"/>
    <w:rsid w:val="00F80A41"/>
    <w:rsid w:val="00F8115E"/>
    <w:rsid w:val="00F81338"/>
    <w:rsid w:val="00F81576"/>
    <w:rsid w:val="00F815C6"/>
    <w:rsid w:val="00F817B1"/>
    <w:rsid w:val="00F81850"/>
    <w:rsid w:val="00F81A4C"/>
    <w:rsid w:val="00F82219"/>
    <w:rsid w:val="00F82460"/>
    <w:rsid w:val="00F82929"/>
    <w:rsid w:val="00F829B0"/>
    <w:rsid w:val="00F82B73"/>
    <w:rsid w:val="00F8301B"/>
    <w:rsid w:val="00F83A13"/>
    <w:rsid w:val="00F83ACD"/>
    <w:rsid w:val="00F83C44"/>
    <w:rsid w:val="00F83D4A"/>
    <w:rsid w:val="00F83D59"/>
    <w:rsid w:val="00F83EF9"/>
    <w:rsid w:val="00F83F92"/>
    <w:rsid w:val="00F84260"/>
    <w:rsid w:val="00F84982"/>
    <w:rsid w:val="00F84AC7"/>
    <w:rsid w:val="00F84B5B"/>
    <w:rsid w:val="00F84BBF"/>
    <w:rsid w:val="00F84D2F"/>
    <w:rsid w:val="00F84E5B"/>
    <w:rsid w:val="00F85430"/>
    <w:rsid w:val="00F85462"/>
    <w:rsid w:val="00F855F6"/>
    <w:rsid w:val="00F8574D"/>
    <w:rsid w:val="00F85EEF"/>
    <w:rsid w:val="00F867D5"/>
    <w:rsid w:val="00F86E24"/>
    <w:rsid w:val="00F87126"/>
    <w:rsid w:val="00F8732E"/>
    <w:rsid w:val="00F87757"/>
    <w:rsid w:val="00F878A6"/>
    <w:rsid w:val="00F87BA7"/>
    <w:rsid w:val="00F87E7C"/>
    <w:rsid w:val="00F900A7"/>
    <w:rsid w:val="00F90293"/>
    <w:rsid w:val="00F905AB"/>
    <w:rsid w:val="00F9075D"/>
    <w:rsid w:val="00F90A54"/>
    <w:rsid w:val="00F90AF2"/>
    <w:rsid w:val="00F911E3"/>
    <w:rsid w:val="00F911FF"/>
    <w:rsid w:val="00F916A2"/>
    <w:rsid w:val="00F916A5"/>
    <w:rsid w:val="00F91AF2"/>
    <w:rsid w:val="00F92196"/>
    <w:rsid w:val="00F9311E"/>
    <w:rsid w:val="00F934B5"/>
    <w:rsid w:val="00F934FD"/>
    <w:rsid w:val="00F93509"/>
    <w:rsid w:val="00F936CF"/>
    <w:rsid w:val="00F93730"/>
    <w:rsid w:val="00F93AD7"/>
    <w:rsid w:val="00F93CA0"/>
    <w:rsid w:val="00F93FF6"/>
    <w:rsid w:val="00F94268"/>
    <w:rsid w:val="00F946E1"/>
    <w:rsid w:val="00F94775"/>
    <w:rsid w:val="00F94844"/>
    <w:rsid w:val="00F94A8E"/>
    <w:rsid w:val="00F94C4F"/>
    <w:rsid w:val="00F94F06"/>
    <w:rsid w:val="00F95197"/>
    <w:rsid w:val="00F95C21"/>
    <w:rsid w:val="00F95C91"/>
    <w:rsid w:val="00F962C3"/>
    <w:rsid w:val="00F96333"/>
    <w:rsid w:val="00F963D8"/>
    <w:rsid w:val="00F966BA"/>
    <w:rsid w:val="00F9676D"/>
    <w:rsid w:val="00F969DD"/>
    <w:rsid w:val="00F96A15"/>
    <w:rsid w:val="00F96CD5"/>
    <w:rsid w:val="00F96CFE"/>
    <w:rsid w:val="00F9748E"/>
    <w:rsid w:val="00F977F1"/>
    <w:rsid w:val="00F97AE0"/>
    <w:rsid w:val="00F97AE1"/>
    <w:rsid w:val="00F97AFB"/>
    <w:rsid w:val="00FA06B9"/>
    <w:rsid w:val="00FA0862"/>
    <w:rsid w:val="00FA0B77"/>
    <w:rsid w:val="00FA0FA0"/>
    <w:rsid w:val="00FA10F6"/>
    <w:rsid w:val="00FA14B9"/>
    <w:rsid w:val="00FA1AF8"/>
    <w:rsid w:val="00FA1E73"/>
    <w:rsid w:val="00FA1F68"/>
    <w:rsid w:val="00FA2099"/>
    <w:rsid w:val="00FA2221"/>
    <w:rsid w:val="00FA2417"/>
    <w:rsid w:val="00FA24B5"/>
    <w:rsid w:val="00FA268E"/>
    <w:rsid w:val="00FA2753"/>
    <w:rsid w:val="00FA2861"/>
    <w:rsid w:val="00FA2A36"/>
    <w:rsid w:val="00FA2BDE"/>
    <w:rsid w:val="00FA2EEC"/>
    <w:rsid w:val="00FA3B60"/>
    <w:rsid w:val="00FA4101"/>
    <w:rsid w:val="00FA41ED"/>
    <w:rsid w:val="00FA432C"/>
    <w:rsid w:val="00FA45E8"/>
    <w:rsid w:val="00FA46E8"/>
    <w:rsid w:val="00FA48FD"/>
    <w:rsid w:val="00FA4ADC"/>
    <w:rsid w:val="00FA4BA5"/>
    <w:rsid w:val="00FA4C86"/>
    <w:rsid w:val="00FA51A4"/>
    <w:rsid w:val="00FA51A5"/>
    <w:rsid w:val="00FA5399"/>
    <w:rsid w:val="00FA5457"/>
    <w:rsid w:val="00FA59E5"/>
    <w:rsid w:val="00FA5CAC"/>
    <w:rsid w:val="00FA62C3"/>
    <w:rsid w:val="00FA6334"/>
    <w:rsid w:val="00FA6CA1"/>
    <w:rsid w:val="00FA70FD"/>
    <w:rsid w:val="00FA71D2"/>
    <w:rsid w:val="00FA72DB"/>
    <w:rsid w:val="00FA78AF"/>
    <w:rsid w:val="00FA79A5"/>
    <w:rsid w:val="00FA7CD2"/>
    <w:rsid w:val="00FB0075"/>
    <w:rsid w:val="00FB062F"/>
    <w:rsid w:val="00FB0B78"/>
    <w:rsid w:val="00FB0C14"/>
    <w:rsid w:val="00FB0E72"/>
    <w:rsid w:val="00FB1532"/>
    <w:rsid w:val="00FB177D"/>
    <w:rsid w:val="00FB1AAD"/>
    <w:rsid w:val="00FB1D6D"/>
    <w:rsid w:val="00FB1E33"/>
    <w:rsid w:val="00FB2588"/>
    <w:rsid w:val="00FB26C7"/>
    <w:rsid w:val="00FB2F6E"/>
    <w:rsid w:val="00FB395C"/>
    <w:rsid w:val="00FB3DAC"/>
    <w:rsid w:val="00FB44D1"/>
    <w:rsid w:val="00FB45D8"/>
    <w:rsid w:val="00FB4B5D"/>
    <w:rsid w:val="00FB4CE6"/>
    <w:rsid w:val="00FB4E2F"/>
    <w:rsid w:val="00FB4F78"/>
    <w:rsid w:val="00FB5129"/>
    <w:rsid w:val="00FB5317"/>
    <w:rsid w:val="00FB5406"/>
    <w:rsid w:val="00FB554E"/>
    <w:rsid w:val="00FB5A86"/>
    <w:rsid w:val="00FB5C86"/>
    <w:rsid w:val="00FB622E"/>
    <w:rsid w:val="00FB643C"/>
    <w:rsid w:val="00FB672D"/>
    <w:rsid w:val="00FB686E"/>
    <w:rsid w:val="00FB759B"/>
    <w:rsid w:val="00FB7B78"/>
    <w:rsid w:val="00FB7C4C"/>
    <w:rsid w:val="00FB7DF0"/>
    <w:rsid w:val="00FB7E22"/>
    <w:rsid w:val="00FB7E5C"/>
    <w:rsid w:val="00FB7F4D"/>
    <w:rsid w:val="00FC01E9"/>
    <w:rsid w:val="00FC026F"/>
    <w:rsid w:val="00FC082F"/>
    <w:rsid w:val="00FC0B20"/>
    <w:rsid w:val="00FC12F5"/>
    <w:rsid w:val="00FC14BD"/>
    <w:rsid w:val="00FC1784"/>
    <w:rsid w:val="00FC1BF8"/>
    <w:rsid w:val="00FC1F0D"/>
    <w:rsid w:val="00FC20C2"/>
    <w:rsid w:val="00FC21A8"/>
    <w:rsid w:val="00FC2251"/>
    <w:rsid w:val="00FC281F"/>
    <w:rsid w:val="00FC2FB6"/>
    <w:rsid w:val="00FC300D"/>
    <w:rsid w:val="00FC345E"/>
    <w:rsid w:val="00FC3547"/>
    <w:rsid w:val="00FC36F2"/>
    <w:rsid w:val="00FC370A"/>
    <w:rsid w:val="00FC3794"/>
    <w:rsid w:val="00FC3CE9"/>
    <w:rsid w:val="00FC4260"/>
    <w:rsid w:val="00FC43F3"/>
    <w:rsid w:val="00FC48BA"/>
    <w:rsid w:val="00FC5100"/>
    <w:rsid w:val="00FC528A"/>
    <w:rsid w:val="00FC548E"/>
    <w:rsid w:val="00FC55C9"/>
    <w:rsid w:val="00FC5E1A"/>
    <w:rsid w:val="00FC613A"/>
    <w:rsid w:val="00FC6142"/>
    <w:rsid w:val="00FC64BE"/>
    <w:rsid w:val="00FC6736"/>
    <w:rsid w:val="00FC693C"/>
    <w:rsid w:val="00FC6AAB"/>
    <w:rsid w:val="00FC6CD0"/>
    <w:rsid w:val="00FC6D40"/>
    <w:rsid w:val="00FC735C"/>
    <w:rsid w:val="00FC73AF"/>
    <w:rsid w:val="00FC73C5"/>
    <w:rsid w:val="00FC75C3"/>
    <w:rsid w:val="00FC7716"/>
    <w:rsid w:val="00FC7793"/>
    <w:rsid w:val="00FC7875"/>
    <w:rsid w:val="00FC7B3C"/>
    <w:rsid w:val="00FC7CFE"/>
    <w:rsid w:val="00FD0478"/>
    <w:rsid w:val="00FD0C59"/>
    <w:rsid w:val="00FD1123"/>
    <w:rsid w:val="00FD1172"/>
    <w:rsid w:val="00FD22E9"/>
    <w:rsid w:val="00FD2829"/>
    <w:rsid w:val="00FD28D5"/>
    <w:rsid w:val="00FD2A8A"/>
    <w:rsid w:val="00FD3035"/>
    <w:rsid w:val="00FD32FB"/>
    <w:rsid w:val="00FD335C"/>
    <w:rsid w:val="00FD37D2"/>
    <w:rsid w:val="00FD3B97"/>
    <w:rsid w:val="00FD3DFE"/>
    <w:rsid w:val="00FD4D32"/>
    <w:rsid w:val="00FD4D95"/>
    <w:rsid w:val="00FD559E"/>
    <w:rsid w:val="00FD56B1"/>
    <w:rsid w:val="00FD56E3"/>
    <w:rsid w:val="00FD6048"/>
    <w:rsid w:val="00FD61EC"/>
    <w:rsid w:val="00FD634F"/>
    <w:rsid w:val="00FD6579"/>
    <w:rsid w:val="00FD6742"/>
    <w:rsid w:val="00FD6A6D"/>
    <w:rsid w:val="00FD6CA0"/>
    <w:rsid w:val="00FD6D6E"/>
    <w:rsid w:val="00FD7175"/>
    <w:rsid w:val="00FD72B9"/>
    <w:rsid w:val="00FD7312"/>
    <w:rsid w:val="00FD7377"/>
    <w:rsid w:val="00FD7702"/>
    <w:rsid w:val="00FD780D"/>
    <w:rsid w:val="00FD7B26"/>
    <w:rsid w:val="00FE001F"/>
    <w:rsid w:val="00FE0340"/>
    <w:rsid w:val="00FE0762"/>
    <w:rsid w:val="00FE0AEF"/>
    <w:rsid w:val="00FE1076"/>
    <w:rsid w:val="00FE1174"/>
    <w:rsid w:val="00FE132F"/>
    <w:rsid w:val="00FE148D"/>
    <w:rsid w:val="00FE153F"/>
    <w:rsid w:val="00FE163E"/>
    <w:rsid w:val="00FE168F"/>
    <w:rsid w:val="00FE17EE"/>
    <w:rsid w:val="00FE1E6D"/>
    <w:rsid w:val="00FE1F46"/>
    <w:rsid w:val="00FE22C8"/>
    <w:rsid w:val="00FE254E"/>
    <w:rsid w:val="00FE261C"/>
    <w:rsid w:val="00FE2F2A"/>
    <w:rsid w:val="00FE30D1"/>
    <w:rsid w:val="00FE3116"/>
    <w:rsid w:val="00FE317B"/>
    <w:rsid w:val="00FE339B"/>
    <w:rsid w:val="00FE3435"/>
    <w:rsid w:val="00FE344C"/>
    <w:rsid w:val="00FE3B3D"/>
    <w:rsid w:val="00FE3DFD"/>
    <w:rsid w:val="00FE4165"/>
    <w:rsid w:val="00FE436A"/>
    <w:rsid w:val="00FE45D4"/>
    <w:rsid w:val="00FE4912"/>
    <w:rsid w:val="00FE4CF2"/>
    <w:rsid w:val="00FE4DC7"/>
    <w:rsid w:val="00FE5289"/>
    <w:rsid w:val="00FE53CA"/>
    <w:rsid w:val="00FE544E"/>
    <w:rsid w:val="00FE5697"/>
    <w:rsid w:val="00FE5771"/>
    <w:rsid w:val="00FE5C5E"/>
    <w:rsid w:val="00FE5CB3"/>
    <w:rsid w:val="00FE5FD0"/>
    <w:rsid w:val="00FE5FE2"/>
    <w:rsid w:val="00FE6387"/>
    <w:rsid w:val="00FE645F"/>
    <w:rsid w:val="00FE6643"/>
    <w:rsid w:val="00FE6ACD"/>
    <w:rsid w:val="00FE6D35"/>
    <w:rsid w:val="00FE72F4"/>
    <w:rsid w:val="00FE7315"/>
    <w:rsid w:val="00FE7776"/>
    <w:rsid w:val="00FE7974"/>
    <w:rsid w:val="00FE7B5F"/>
    <w:rsid w:val="00FF0017"/>
    <w:rsid w:val="00FF03C2"/>
    <w:rsid w:val="00FF055C"/>
    <w:rsid w:val="00FF062E"/>
    <w:rsid w:val="00FF066C"/>
    <w:rsid w:val="00FF0676"/>
    <w:rsid w:val="00FF09CD"/>
    <w:rsid w:val="00FF0A86"/>
    <w:rsid w:val="00FF0E43"/>
    <w:rsid w:val="00FF1031"/>
    <w:rsid w:val="00FF11FF"/>
    <w:rsid w:val="00FF1687"/>
    <w:rsid w:val="00FF1708"/>
    <w:rsid w:val="00FF17DC"/>
    <w:rsid w:val="00FF21AE"/>
    <w:rsid w:val="00FF22B1"/>
    <w:rsid w:val="00FF2319"/>
    <w:rsid w:val="00FF27E6"/>
    <w:rsid w:val="00FF28B4"/>
    <w:rsid w:val="00FF28E0"/>
    <w:rsid w:val="00FF2A99"/>
    <w:rsid w:val="00FF2F10"/>
    <w:rsid w:val="00FF3016"/>
    <w:rsid w:val="00FF3265"/>
    <w:rsid w:val="00FF34D8"/>
    <w:rsid w:val="00FF3637"/>
    <w:rsid w:val="00FF38CA"/>
    <w:rsid w:val="00FF3A06"/>
    <w:rsid w:val="00FF3EF4"/>
    <w:rsid w:val="00FF4226"/>
    <w:rsid w:val="00FF436C"/>
    <w:rsid w:val="00FF4912"/>
    <w:rsid w:val="00FF5538"/>
    <w:rsid w:val="00FF584F"/>
    <w:rsid w:val="00FF5DBD"/>
    <w:rsid w:val="00FF761F"/>
    <w:rsid w:val="00FF7DD6"/>
    <w:rsid w:val="00FF7E76"/>
    <w:rsid w:val="00FF7EF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76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5DC"/>
    <w:rPr>
      <w:rFonts w:cs="Calibri"/>
      <w:sz w:val="22"/>
      <w:szCs w:val="22"/>
      <w:lang w:eastAsia="en-US"/>
    </w:rPr>
  </w:style>
  <w:style w:type="paragraph" w:styleId="Heading1">
    <w:name w:val="heading 1"/>
    <w:basedOn w:val="Normal"/>
    <w:next w:val="Normal"/>
    <w:link w:val="Heading1Char"/>
    <w:uiPriority w:val="9"/>
    <w:qFormat/>
    <w:rsid w:val="005022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35184"/>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C0350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C35184"/>
    <w:rPr>
      <w:rFonts w:ascii="Times New Roman" w:eastAsia="Times New Roman" w:hAnsi="Times New Roman"/>
      <w:b/>
      <w:bCs/>
      <w:sz w:val="36"/>
      <w:szCs w:val="36"/>
    </w:rPr>
  </w:style>
  <w:style w:type="character" w:styleId="Emphasis">
    <w:name w:val="Emphasis"/>
    <w:basedOn w:val="DefaultParagraphFont"/>
    <w:uiPriority w:val="20"/>
    <w:qFormat/>
    <w:rsid w:val="00033D7A"/>
    <w:rPr>
      <w:i/>
      <w:iCs/>
    </w:rPr>
  </w:style>
  <w:style w:type="character" w:customStyle="1" w:styleId="highlight">
    <w:name w:val="highlight"/>
    <w:basedOn w:val="DefaultParagraphFont"/>
    <w:rsid w:val="00D32D53"/>
  </w:style>
  <w:style w:type="paragraph" w:customStyle="1" w:styleId="Pa4">
    <w:name w:val="Pa4"/>
    <w:basedOn w:val="Default"/>
    <w:next w:val="Default"/>
    <w:uiPriority w:val="99"/>
    <w:rsid w:val="00DE2D34"/>
    <w:pPr>
      <w:spacing w:line="241" w:lineRule="atLeast"/>
    </w:pPr>
    <w:rPr>
      <w:rFonts w:ascii="Sensibility Extra Bold" w:hAnsi="Sensibility Extra Bold" w:cs="Times New Roman"/>
      <w:color w:val="auto"/>
    </w:rPr>
  </w:style>
  <w:style w:type="character" w:customStyle="1" w:styleId="A6">
    <w:name w:val="A6"/>
    <w:uiPriority w:val="99"/>
    <w:rsid w:val="00DE2D34"/>
    <w:rPr>
      <w:rFonts w:cs="Sensibility Extra Bold"/>
      <w:b/>
      <w:bCs/>
      <w:color w:val="000000"/>
      <w:sz w:val="20"/>
      <w:szCs w:val="20"/>
    </w:rPr>
  </w:style>
  <w:style w:type="character" w:customStyle="1" w:styleId="A1">
    <w:name w:val="A1"/>
    <w:uiPriority w:val="99"/>
    <w:rsid w:val="00DE2D34"/>
    <w:rPr>
      <w:rFonts w:ascii="Helvetica 45 Light" w:hAnsi="Helvetica 45 Light" w:cs="Helvetica 45 Light"/>
      <w:color w:val="000000"/>
      <w:sz w:val="17"/>
      <w:szCs w:val="17"/>
    </w:rPr>
  </w:style>
  <w:style w:type="table" w:styleId="TableGrid">
    <w:name w:val="Table Grid"/>
    <w:basedOn w:val="TableNormal"/>
    <w:uiPriority w:val="59"/>
    <w:rsid w:val="00B539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27636"/>
    <w:rPr>
      <w:color w:val="800080" w:themeColor="followedHyperlink"/>
      <w:u w:val="single"/>
    </w:rPr>
  </w:style>
  <w:style w:type="character" w:styleId="Strong">
    <w:name w:val="Strong"/>
    <w:basedOn w:val="DefaultParagraphFont"/>
    <w:uiPriority w:val="22"/>
    <w:qFormat/>
    <w:rsid w:val="00F40546"/>
    <w:rPr>
      <w:b/>
      <w:bCs/>
    </w:rPr>
  </w:style>
  <w:style w:type="character" w:customStyle="1" w:styleId="Heading1Char">
    <w:name w:val="Heading 1 Char"/>
    <w:basedOn w:val="DefaultParagraphFont"/>
    <w:link w:val="Heading1"/>
    <w:uiPriority w:val="9"/>
    <w:rsid w:val="00502275"/>
    <w:rPr>
      <w:rFonts w:asciiTheme="majorHAnsi" w:eastAsiaTheme="majorEastAsia" w:hAnsiTheme="majorHAnsi" w:cstheme="majorBidi"/>
      <w:b/>
      <w:bCs/>
      <w:color w:val="365F91" w:themeColor="accent1" w:themeShade="BF"/>
      <w:sz w:val="28"/>
      <w:szCs w:val="28"/>
      <w:lang w:eastAsia="en-US"/>
    </w:rPr>
  </w:style>
  <w:style w:type="character" w:customStyle="1" w:styleId="markg57p1kdh3">
    <w:name w:val="markg57p1kdh3"/>
    <w:basedOn w:val="DefaultParagraphFont"/>
    <w:rsid w:val="00883440"/>
  </w:style>
  <w:style w:type="paragraph" w:customStyle="1" w:styleId="story-bodyintroduction">
    <w:name w:val="story-body__introduction"/>
    <w:basedOn w:val="Normal"/>
    <w:rsid w:val="008345A5"/>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externallink">
    <w:name w:val="externallink"/>
    <w:basedOn w:val="DefaultParagraphFont"/>
    <w:rsid w:val="00AC4196"/>
  </w:style>
  <w:style w:type="character" w:customStyle="1" w:styleId="A0">
    <w:name w:val="A0"/>
    <w:uiPriority w:val="99"/>
    <w:rsid w:val="002B26E3"/>
    <w:rPr>
      <w:rFonts w:cs="Roboto Medium"/>
      <w:b/>
      <w:bCs/>
      <w:color w:val="000000"/>
      <w:sz w:val="52"/>
      <w:szCs w:val="52"/>
    </w:rPr>
  </w:style>
  <w:style w:type="character" w:customStyle="1" w:styleId="markedcontent">
    <w:name w:val="markedcontent"/>
    <w:basedOn w:val="DefaultParagraphFont"/>
    <w:rsid w:val="0064261B"/>
  </w:style>
  <w:style w:type="paragraph" w:customStyle="1" w:styleId="dcr-o5gy41">
    <w:name w:val="dcr-o5gy41"/>
    <w:basedOn w:val="Normal"/>
    <w:rsid w:val="00CB3BC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ss-901oao">
    <w:name w:val="css-901oao"/>
    <w:basedOn w:val="DefaultParagraphFont"/>
    <w:rsid w:val="00542194"/>
  </w:style>
  <w:style w:type="character" w:customStyle="1" w:styleId="markruxjew0r8">
    <w:name w:val="markruxjew0r8"/>
    <w:basedOn w:val="DefaultParagraphFont"/>
    <w:rsid w:val="00202EB3"/>
  </w:style>
  <w:style w:type="character" w:customStyle="1" w:styleId="Heading3Char">
    <w:name w:val="Heading 3 Char"/>
    <w:basedOn w:val="DefaultParagraphFont"/>
    <w:link w:val="Heading3"/>
    <w:uiPriority w:val="9"/>
    <w:semiHidden/>
    <w:rsid w:val="00C0350B"/>
    <w:rPr>
      <w:rFonts w:asciiTheme="majorHAnsi" w:eastAsiaTheme="majorEastAsia" w:hAnsiTheme="majorHAnsi" w:cstheme="majorBidi"/>
      <w:b/>
      <w:bCs/>
      <w:color w:val="4F81BD" w:themeColor="accent1"/>
      <w:sz w:val="22"/>
      <w:szCs w:val="22"/>
      <w:lang w:eastAsia="en-US"/>
    </w:rPr>
  </w:style>
  <w:style w:type="paragraph" w:customStyle="1" w:styleId="Caption1">
    <w:name w:val="Caption1"/>
    <w:basedOn w:val="Normal"/>
    <w:rsid w:val="00C0350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standard-view-style">
    <w:name w:val="standard-view-style"/>
    <w:basedOn w:val="DefaultParagraphFont"/>
    <w:rsid w:val="00C0350B"/>
  </w:style>
  <w:style w:type="character" w:customStyle="1" w:styleId="markx3biz1rs7">
    <w:name w:val="markx3biz1rs7"/>
    <w:basedOn w:val="DefaultParagraphFont"/>
    <w:rsid w:val="0086153F"/>
  </w:style>
  <w:style w:type="paragraph" w:customStyle="1" w:styleId="text">
    <w:name w:val="text"/>
    <w:basedOn w:val="Normal"/>
    <w:rsid w:val="00E553AD"/>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last-child">
    <w:name w:val="last-child"/>
    <w:basedOn w:val="Normal"/>
    <w:rsid w:val="00F712A1"/>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author">
    <w:name w:val="author"/>
    <w:basedOn w:val="Normal"/>
    <w:rsid w:val="002F389D"/>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publisher">
    <w:name w:val="publisher"/>
    <w:basedOn w:val="Normal"/>
    <w:rsid w:val="002F389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ccordion-tabbedtab-mobile">
    <w:name w:val="accordion-tabbed__tab-mobile"/>
    <w:basedOn w:val="DefaultParagraphFont"/>
    <w:rsid w:val="00B802FD"/>
  </w:style>
  <w:style w:type="character" w:customStyle="1" w:styleId="comma-separator">
    <w:name w:val="comma-separator"/>
    <w:basedOn w:val="DefaultParagraphFont"/>
    <w:rsid w:val="00B802FD"/>
  </w:style>
  <w:style w:type="character" w:customStyle="1" w:styleId="elementtoproof">
    <w:name w:val="elementtoproof"/>
    <w:basedOn w:val="DefaultParagraphFont"/>
    <w:rsid w:val="00C01B33"/>
  </w:style>
  <w:style w:type="character" w:customStyle="1" w:styleId="xcontentpasted0">
    <w:name w:val="x_contentpasted0"/>
    <w:basedOn w:val="DefaultParagraphFont"/>
    <w:rsid w:val="000367C8"/>
  </w:style>
  <w:style w:type="character" w:customStyle="1" w:styleId="anchor-text">
    <w:name w:val="anchor-text"/>
    <w:basedOn w:val="DefaultParagraphFont"/>
    <w:rsid w:val="00AE6B6F"/>
  </w:style>
  <w:style w:type="character" w:customStyle="1" w:styleId="title-text">
    <w:name w:val="title-text"/>
    <w:basedOn w:val="DefaultParagraphFont"/>
    <w:rsid w:val="00AE6B6F"/>
  </w:style>
  <w:style w:type="character" w:customStyle="1" w:styleId="contentpasted0">
    <w:name w:val="contentpasted0"/>
    <w:basedOn w:val="DefaultParagraphFont"/>
    <w:rsid w:val="0019208A"/>
  </w:style>
  <w:style w:type="paragraph" w:customStyle="1" w:styleId="contentpasted01">
    <w:name w:val="contentpasted01"/>
    <w:basedOn w:val="Normal"/>
    <w:rsid w:val="0019208A"/>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i">
    <w:name w:val="hi"/>
    <w:basedOn w:val="DefaultParagraphFont"/>
    <w:rsid w:val="000F2D29"/>
  </w:style>
  <w:style w:type="paragraph" w:customStyle="1" w:styleId="av-authname">
    <w:name w:val="av-authname"/>
    <w:basedOn w:val="Normal"/>
    <w:rsid w:val="00946276"/>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msonormal">
    <w:name w:val="x_msonormal"/>
    <w:basedOn w:val="Normal"/>
    <w:rsid w:val="007A6930"/>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3925843">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29914236">
      <w:bodyDiv w:val="1"/>
      <w:marLeft w:val="0"/>
      <w:marRight w:val="0"/>
      <w:marTop w:val="0"/>
      <w:marBottom w:val="0"/>
      <w:divBdr>
        <w:top w:val="none" w:sz="0" w:space="0" w:color="auto"/>
        <w:left w:val="none" w:sz="0" w:space="0" w:color="auto"/>
        <w:bottom w:val="none" w:sz="0" w:space="0" w:color="auto"/>
        <w:right w:val="none" w:sz="0" w:space="0" w:color="auto"/>
      </w:divBdr>
      <w:divsChild>
        <w:div w:id="525873409">
          <w:marLeft w:val="0"/>
          <w:marRight w:val="0"/>
          <w:marTop w:val="0"/>
          <w:marBottom w:val="0"/>
          <w:divBdr>
            <w:top w:val="none" w:sz="0" w:space="0" w:color="auto"/>
            <w:left w:val="none" w:sz="0" w:space="0" w:color="auto"/>
            <w:bottom w:val="none" w:sz="0" w:space="0" w:color="auto"/>
            <w:right w:val="none" w:sz="0" w:space="0" w:color="auto"/>
          </w:divBdr>
        </w:div>
        <w:div w:id="417142742">
          <w:marLeft w:val="0"/>
          <w:marRight w:val="0"/>
          <w:marTop w:val="0"/>
          <w:marBottom w:val="0"/>
          <w:divBdr>
            <w:top w:val="none" w:sz="0" w:space="0" w:color="auto"/>
            <w:left w:val="none" w:sz="0" w:space="0" w:color="auto"/>
            <w:bottom w:val="none" w:sz="0" w:space="0" w:color="auto"/>
            <w:right w:val="none" w:sz="0" w:space="0" w:color="auto"/>
          </w:divBdr>
        </w:div>
      </w:divsChild>
    </w:div>
    <w:div w:id="39592984">
      <w:bodyDiv w:val="1"/>
      <w:marLeft w:val="0"/>
      <w:marRight w:val="0"/>
      <w:marTop w:val="0"/>
      <w:marBottom w:val="0"/>
      <w:divBdr>
        <w:top w:val="none" w:sz="0" w:space="0" w:color="auto"/>
        <w:left w:val="none" w:sz="0" w:space="0" w:color="auto"/>
        <w:bottom w:val="none" w:sz="0" w:space="0" w:color="auto"/>
        <w:right w:val="none" w:sz="0" w:space="0" w:color="auto"/>
      </w:divBdr>
      <w:divsChild>
        <w:div w:id="1925449602">
          <w:marLeft w:val="0"/>
          <w:marRight w:val="0"/>
          <w:marTop w:val="0"/>
          <w:marBottom w:val="0"/>
          <w:divBdr>
            <w:top w:val="none" w:sz="0" w:space="0" w:color="auto"/>
            <w:left w:val="none" w:sz="0" w:space="0" w:color="auto"/>
            <w:bottom w:val="none" w:sz="0" w:space="0" w:color="auto"/>
            <w:right w:val="none" w:sz="0" w:space="0" w:color="auto"/>
          </w:divBdr>
        </w:div>
      </w:divsChild>
    </w:div>
    <w:div w:id="93134492">
      <w:bodyDiv w:val="1"/>
      <w:marLeft w:val="0"/>
      <w:marRight w:val="0"/>
      <w:marTop w:val="0"/>
      <w:marBottom w:val="0"/>
      <w:divBdr>
        <w:top w:val="none" w:sz="0" w:space="0" w:color="auto"/>
        <w:left w:val="none" w:sz="0" w:space="0" w:color="auto"/>
        <w:bottom w:val="none" w:sz="0" w:space="0" w:color="auto"/>
        <w:right w:val="none" w:sz="0" w:space="0" w:color="auto"/>
      </w:divBdr>
    </w:div>
    <w:div w:id="133062303">
      <w:bodyDiv w:val="1"/>
      <w:marLeft w:val="0"/>
      <w:marRight w:val="0"/>
      <w:marTop w:val="0"/>
      <w:marBottom w:val="0"/>
      <w:divBdr>
        <w:top w:val="none" w:sz="0" w:space="0" w:color="auto"/>
        <w:left w:val="none" w:sz="0" w:space="0" w:color="auto"/>
        <w:bottom w:val="none" w:sz="0" w:space="0" w:color="auto"/>
        <w:right w:val="none" w:sz="0" w:space="0" w:color="auto"/>
      </w:divBdr>
    </w:div>
    <w:div w:id="143595063">
      <w:bodyDiv w:val="1"/>
      <w:marLeft w:val="0"/>
      <w:marRight w:val="0"/>
      <w:marTop w:val="0"/>
      <w:marBottom w:val="0"/>
      <w:divBdr>
        <w:top w:val="none" w:sz="0" w:space="0" w:color="auto"/>
        <w:left w:val="none" w:sz="0" w:space="0" w:color="auto"/>
        <w:bottom w:val="none" w:sz="0" w:space="0" w:color="auto"/>
        <w:right w:val="none" w:sz="0" w:space="0" w:color="auto"/>
      </w:divBdr>
    </w:div>
    <w:div w:id="149831975">
      <w:bodyDiv w:val="1"/>
      <w:marLeft w:val="0"/>
      <w:marRight w:val="0"/>
      <w:marTop w:val="0"/>
      <w:marBottom w:val="0"/>
      <w:divBdr>
        <w:top w:val="none" w:sz="0" w:space="0" w:color="auto"/>
        <w:left w:val="none" w:sz="0" w:space="0" w:color="auto"/>
        <w:bottom w:val="none" w:sz="0" w:space="0" w:color="auto"/>
        <w:right w:val="none" w:sz="0" w:space="0" w:color="auto"/>
      </w:divBdr>
    </w:div>
    <w:div w:id="161043992">
      <w:bodyDiv w:val="1"/>
      <w:marLeft w:val="0"/>
      <w:marRight w:val="0"/>
      <w:marTop w:val="0"/>
      <w:marBottom w:val="0"/>
      <w:divBdr>
        <w:top w:val="none" w:sz="0" w:space="0" w:color="auto"/>
        <w:left w:val="none" w:sz="0" w:space="0" w:color="auto"/>
        <w:bottom w:val="none" w:sz="0" w:space="0" w:color="auto"/>
        <w:right w:val="none" w:sz="0" w:space="0" w:color="auto"/>
      </w:divBdr>
    </w:div>
    <w:div w:id="176193085">
      <w:bodyDiv w:val="1"/>
      <w:marLeft w:val="0"/>
      <w:marRight w:val="0"/>
      <w:marTop w:val="0"/>
      <w:marBottom w:val="0"/>
      <w:divBdr>
        <w:top w:val="none" w:sz="0" w:space="0" w:color="auto"/>
        <w:left w:val="none" w:sz="0" w:space="0" w:color="auto"/>
        <w:bottom w:val="none" w:sz="0" w:space="0" w:color="auto"/>
        <w:right w:val="none" w:sz="0" w:space="0" w:color="auto"/>
      </w:divBdr>
      <w:divsChild>
        <w:div w:id="1187450297">
          <w:marLeft w:val="0"/>
          <w:marRight w:val="0"/>
          <w:marTop w:val="0"/>
          <w:marBottom w:val="0"/>
          <w:divBdr>
            <w:top w:val="none" w:sz="0" w:space="0" w:color="auto"/>
            <w:left w:val="none" w:sz="0" w:space="0" w:color="auto"/>
            <w:bottom w:val="none" w:sz="0" w:space="0" w:color="auto"/>
            <w:right w:val="none" w:sz="0" w:space="0" w:color="auto"/>
          </w:divBdr>
        </w:div>
        <w:div w:id="64886839">
          <w:marLeft w:val="0"/>
          <w:marRight w:val="0"/>
          <w:marTop w:val="0"/>
          <w:marBottom w:val="0"/>
          <w:divBdr>
            <w:top w:val="none" w:sz="0" w:space="0" w:color="auto"/>
            <w:left w:val="none" w:sz="0" w:space="0" w:color="auto"/>
            <w:bottom w:val="none" w:sz="0" w:space="0" w:color="auto"/>
            <w:right w:val="none" w:sz="0" w:space="0" w:color="auto"/>
          </w:divBdr>
        </w:div>
        <w:div w:id="300380379">
          <w:marLeft w:val="0"/>
          <w:marRight w:val="0"/>
          <w:marTop w:val="0"/>
          <w:marBottom w:val="0"/>
          <w:divBdr>
            <w:top w:val="none" w:sz="0" w:space="0" w:color="auto"/>
            <w:left w:val="none" w:sz="0" w:space="0" w:color="auto"/>
            <w:bottom w:val="none" w:sz="0" w:space="0" w:color="auto"/>
            <w:right w:val="none" w:sz="0" w:space="0" w:color="auto"/>
          </w:divBdr>
        </w:div>
        <w:div w:id="866793391">
          <w:marLeft w:val="0"/>
          <w:marRight w:val="0"/>
          <w:marTop w:val="0"/>
          <w:marBottom w:val="0"/>
          <w:divBdr>
            <w:top w:val="none" w:sz="0" w:space="0" w:color="auto"/>
            <w:left w:val="none" w:sz="0" w:space="0" w:color="auto"/>
            <w:bottom w:val="none" w:sz="0" w:space="0" w:color="auto"/>
            <w:right w:val="none" w:sz="0" w:space="0" w:color="auto"/>
          </w:divBdr>
        </w:div>
        <w:div w:id="1117027391">
          <w:marLeft w:val="0"/>
          <w:marRight w:val="0"/>
          <w:marTop w:val="0"/>
          <w:marBottom w:val="0"/>
          <w:divBdr>
            <w:top w:val="none" w:sz="0" w:space="0" w:color="auto"/>
            <w:left w:val="none" w:sz="0" w:space="0" w:color="auto"/>
            <w:bottom w:val="none" w:sz="0" w:space="0" w:color="auto"/>
            <w:right w:val="none" w:sz="0" w:space="0" w:color="auto"/>
          </w:divBdr>
        </w:div>
        <w:div w:id="709456428">
          <w:marLeft w:val="0"/>
          <w:marRight w:val="0"/>
          <w:marTop w:val="0"/>
          <w:marBottom w:val="0"/>
          <w:divBdr>
            <w:top w:val="none" w:sz="0" w:space="0" w:color="auto"/>
            <w:left w:val="none" w:sz="0" w:space="0" w:color="auto"/>
            <w:bottom w:val="none" w:sz="0" w:space="0" w:color="auto"/>
            <w:right w:val="none" w:sz="0" w:space="0" w:color="auto"/>
          </w:divBdr>
        </w:div>
        <w:div w:id="706609234">
          <w:marLeft w:val="0"/>
          <w:marRight w:val="0"/>
          <w:marTop w:val="0"/>
          <w:marBottom w:val="0"/>
          <w:divBdr>
            <w:top w:val="none" w:sz="0" w:space="0" w:color="auto"/>
            <w:left w:val="none" w:sz="0" w:space="0" w:color="auto"/>
            <w:bottom w:val="none" w:sz="0" w:space="0" w:color="auto"/>
            <w:right w:val="none" w:sz="0" w:space="0" w:color="auto"/>
          </w:divBdr>
        </w:div>
        <w:div w:id="1526868258">
          <w:marLeft w:val="0"/>
          <w:marRight w:val="0"/>
          <w:marTop w:val="0"/>
          <w:marBottom w:val="0"/>
          <w:divBdr>
            <w:top w:val="none" w:sz="0" w:space="0" w:color="auto"/>
            <w:left w:val="none" w:sz="0" w:space="0" w:color="auto"/>
            <w:bottom w:val="none" w:sz="0" w:space="0" w:color="auto"/>
            <w:right w:val="none" w:sz="0" w:space="0" w:color="auto"/>
          </w:divBdr>
        </w:div>
        <w:div w:id="604077895">
          <w:marLeft w:val="0"/>
          <w:marRight w:val="0"/>
          <w:marTop w:val="0"/>
          <w:marBottom w:val="0"/>
          <w:divBdr>
            <w:top w:val="none" w:sz="0" w:space="0" w:color="auto"/>
            <w:left w:val="none" w:sz="0" w:space="0" w:color="auto"/>
            <w:bottom w:val="none" w:sz="0" w:space="0" w:color="auto"/>
            <w:right w:val="none" w:sz="0" w:space="0" w:color="auto"/>
          </w:divBdr>
        </w:div>
        <w:div w:id="72162238">
          <w:marLeft w:val="0"/>
          <w:marRight w:val="0"/>
          <w:marTop w:val="0"/>
          <w:marBottom w:val="0"/>
          <w:divBdr>
            <w:top w:val="none" w:sz="0" w:space="0" w:color="auto"/>
            <w:left w:val="none" w:sz="0" w:space="0" w:color="auto"/>
            <w:bottom w:val="none" w:sz="0" w:space="0" w:color="auto"/>
            <w:right w:val="none" w:sz="0" w:space="0" w:color="auto"/>
          </w:divBdr>
        </w:div>
        <w:div w:id="1412118189">
          <w:marLeft w:val="0"/>
          <w:marRight w:val="0"/>
          <w:marTop w:val="0"/>
          <w:marBottom w:val="0"/>
          <w:divBdr>
            <w:top w:val="none" w:sz="0" w:space="0" w:color="auto"/>
            <w:left w:val="none" w:sz="0" w:space="0" w:color="auto"/>
            <w:bottom w:val="none" w:sz="0" w:space="0" w:color="auto"/>
            <w:right w:val="none" w:sz="0" w:space="0" w:color="auto"/>
          </w:divBdr>
        </w:div>
        <w:div w:id="588343562">
          <w:marLeft w:val="0"/>
          <w:marRight w:val="0"/>
          <w:marTop w:val="0"/>
          <w:marBottom w:val="0"/>
          <w:divBdr>
            <w:top w:val="none" w:sz="0" w:space="0" w:color="auto"/>
            <w:left w:val="none" w:sz="0" w:space="0" w:color="auto"/>
            <w:bottom w:val="none" w:sz="0" w:space="0" w:color="auto"/>
            <w:right w:val="none" w:sz="0" w:space="0" w:color="auto"/>
          </w:divBdr>
        </w:div>
        <w:div w:id="970594998">
          <w:marLeft w:val="0"/>
          <w:marRight w:val="0"/>
          <w:marTop w:val="0"/>
          <w:marBottom w:val="0"/>
          <w:divBdr>
            <w:top w:val="none" w:sz="0" w:space="0" w:color="auto"/>
            <w:left w:val="none" w:sz="0" w:space="0" w:color="auto"/>
            <w:bottom w:val="none" w:sz="0" w:space="0" w:color="auto"/>
            <w:right w:val="none" w:sz="0" w:space="0" w:color="auto"/>
          </w:divBdr>
        </w:div>
        <w:div w:id="901872076">
          <w:marLeft w:val="0"/>
          <w:marRight w:val="0"/>
          <w:marTop w:val="0"/>
          <w:marBottom w:val="0"/>
          <w:divBdr>
            <w:top w:val="none" w:sz="0" w:space="0" w:color="auto"/>
            <w:left w:val="none" w:sz="0" w:space="0" w:color="auto"/>
            <w:bottom w:val="none" w:sz="0" w:space="0" w:color="auto"/>
            <w:right w:val="none" w:sz="0" w:space="0" w:color="auto"/>
          </w:divBdr>
        </w:div>
        <w:div w:id="572785916">
          <w:marLeft w:val="0"/>
          <w:marRight w:val="0"/>
          <w:marTop w:val="0"/>
          <w:marBottom w:val="0"/>
          <w:divBdr>
            <w:top w:val="none" w:sz="0" w:space="0" w:color="auto"/>
            <w:left w:val="none" w:sz="0" w:space="0" w:color="auto"/>
            <w:bottom w:val="none" w:sz="0" w:space="0" w:color="auto"/>
            <w:right w:val="none" w:sz="0" w:space="0" w:color="auto"/>
          </w:divBdr>
        </w:div>
        <w:div w:id="1347292691">
          <w:marLeft w:val="0"/>
          <w:marRight w:val="0"/>
          <w:marTop w:val="0"/>
          <w:marBottom w:val="0"/>
          <w:divBdr>
            <w:top w:val="none" w:sz="0" w:space="0" w:color="auto"/>
            <w:left w:val="none" w:sz="0" w:space="0" w:color="auto"/>
            <w:bottom w:val="none" w:sz="0" w:space="0" w:color="auto"/>
            <w:right w:val="none" w:sz="0" w:space="0" w:color="auto"/>
          </w:divBdr>
        </w:div>
        <w:div w:id="2067751335">
          <w:marLeft w:val="0"/>
          <w:marRight w:val="0"/>
          <w:marTop w:val="0"/>
          <w:marBottom w:val="0"/>
          <w:divBdr>
            <w:top w:val="none" w:sz="0" w:space="0" w:color="auto"/>
            <w:left w:val="none" w:sz="0" w:space="0" w:color="auto"/>
            <w:bottom w:val="none" w:sz="0" w:space="0" w:color="auto"/>
            <w:right w:val="none" w:sz="0" w:space="0" w:color="auto"/>
          </w:divBdr>
        </w:div>
        <w:div w:id="1665277708">
          <w:marLeft w:val="0"/>
          <w:marRight w:val="0"/>
          <w:marTop w:val="0"/>
          <w:marBottom w:val="0"/>
          <w:divBdr>
            <w:top w:val="none" w:sz="0" w:space="0" w:color="auto"/>
            <w:left w:val="none" w:sz="0" w:space="0" w:color="auto"/>
            <w:bottom w:val="none" w:sz="0" w:space="0" w:color="auto"/>
            <w:right w:val="none" w:sz="0" w:space="0" w:color="auto"/>
          </w:divBdr>
        </w:div>
        <w:div w:id="493225447">
          <w:marLeft w:val="0"/>
          <w:marRight w:val="0"/>
          <w:marTop w:val="0"/>
          <w:marBottom w:val="0"/>
          <w:divBdr>
            <w:top w:val="none" w:sz="0" w:space="0" w:color="auto"/>
            <w:left w:val="none" w:sz="0" w:space="0" w:color="auto"/>
            <w:bottom w:val="none" w:sz="0" w:space="0" w:color="auto"/>
            <w:right w:val="none" w:sz="0" w:space="0" w:color="auto"/>
          </w:divBdr>
        </w:div>
        <w:div w:id="191460624">
          <w:marLeft w:val="0"/>
          <w:marRight w:val="0"/>
          <w:marTop w:val="0"/>
          <w:marBottom w:val="0"/>
          <w:divBdr>
            <w:top w:val="none" w:sz="0" w:space="0" w:color="auto"/>
            <w:left w:val="none" w:sz="0" w:space="0" w:color="auto"/>
            <w:bottom w:val="none" w:sz="0" w:space="0" w:color="auto"/>
            <w:right w:val="none" w:sz="0" w:space="0" w:color="auto"/>
          </w:divBdr>
        </w:div>
        <w:div w:id="244806277">
          <w:marLeft w:val="0"/>
          <w:marRight w:val="0"/>
          <w:marTop w:val="0"/>
          <w:marBottom w:val="0"/>
          <w:divBdr>
            <w:top w:val="none" w:sz="0" w:space="0" w:color="auto"/>
            <w:left w:val="none" w:sz="0" w:space="0" w:color="auto"/>
            <w:bottom w:val="none" w:sz="0" w:space="0" w:color="auto"/>
            <w:right w:val="none" w:sz="0" w:space="0" w:color="auto"/>
          </w:divBdr>
        </w:div>
      </w:divsChild>
    </w:div>
    <w:div w:id="187182311">
      <w:bodyDiv w:val="1"/>
      <w:marLeft w:val="0"/>
      <w:marRight w:val="0"/>
      <w:marTop w:val="0"/>
      <w:marBottom w:val="0"/>
      <w:divBdr>
        <w:top w:val="none" w:sz="0" w:space="0" w:color="auto"/>
        <w:left w:val="none" w:sz="0" w:space="0" w:color="auto"/>
        <w:bottom w:val="none" w:sz="0" w:space="0" w:color="auto"/>
        <w:right w:val="none" w:sz="0" w:space="0" w:color="auto"/>
      </w:divBdr>
      <w:divsChild>
        <w:div w:id="2052610288">
          <w:marLeft w:val="0"/>
          <w:marRight w:val="0"/>
          <w:marTop w:val="0"/>
          <w:marBottom w:val="0"/>
          <w:divBdr>
            <w:top w:val="none" w:sz="0" w:space="0" w:color="auto"/>
            <w:left w:val="none" w:sz="0" w:space="0" w:color="auto"/>
            <w:bottom w:val="none" w:sz="0" w:space="0" w:color="auto"/>
            <w:right w:val="none" w:sz="0" w:space="0" w:color="auto"/>
          </w:divBdr>
          <w:divsChild>
            <w:div w:id="164072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3957">
      <w:bodyDiv w:val="1"/>
      <w:marLeft w:val="0"/>
      <w:marRight w:val="0"/>
      <w:marTop w:val="0"/>
      <w:marBottom w:val="0"/>
      <w:divBdr>
        <w:top w:val="none" w:sz="0" w:space="0" w:color="auto"/>
        <w:left w:val="none" w:sz="0" w:space="0" w:color="auto"/>
        <w:bottom w:val="none" w:sz="0" w:space="0" w:color="auto"/>
        <w:right w:val="none" w:sz="0" w:space="0" w:color="auto"/>
      </w:divBdr>
      <w:divsChild>
        <w:div w:id="1286348846">
          <w:marLeft w:val="0"/>
          <w:marRight w:val="0"/>
          <w:marTop w:val="0"/>
          <w:marBottom w:val="0"/>
          <w:divBdr>
            <w:top w:val="none" w:sz="0" w:space="0" w:color="auto"/>
            <w:left w:val="none" w:sz="0" w:space="0" w:color="auto"/>
            <w:bottom w:val="none" w:sz="0" w:space="0" w:color="auto"/>
            <w:right w:val="none" w:sz="0" w:space="0" w:color="auto"/>
          </w:divBdr>
          <w:divsChild>
            <w:div w:id="1319501896">
              <w:marLeft w:val="0"/>
              <w:marRight w:val="0"/>
              <w:marTop w:val="0"/>
              <w:marBottom w:val="0"/>
              <w:divBdr>
                <w:top w:val="none" w:sz="0" w:space="0" w:color="auto"/>
                <w:left w:val="none" w:sz="0" w:space="0" w:color="auto"/>
                <w:bottom w:val="single" w:sz="6" w:space="0" w:color="CCCCCC"/>
                <w:right w:val="none" w:sz="0" w:space="0" w:color="auto"/>
              </w:divBdr>
              <w:divsChild>
                <w:div w:id="229317593">
                  <w:marLeft w:val="0"/>
                  <w:marRight w:val="0"/>
                  <w:marTop w:val="0"/>
                  <w:marBottom w:val="0"/>
                  <w:divBdr>
                    <w:top w:val="none" w:sz="0" w:space="0" w:color="auto"/>
                    <w:left w:val="none" w:sz="0" w:space="0" w:color="auto"/>
                    <w:bottom w:val="none" w:sz="0" w:space="0" w:color="auto"/>
                    <w:right w:val="none" w:sz="0" w:space="0" w:color="auto"/>
                  </w:divBdr>
                  <w:divsChild>
                    <w:div w:id="414519912">
                      <w:marLeft w:val="0"/>
                      <w:marRight w:val="0"/>
                      <w:marTop w:val="0"/>
                      <w:marBottom w:val="0"/>
                      <w:divBdr>
                        <w:top w:val="none" w:sz="0" w:space="0" w:color="auto"/>
                        <w:left w:val="none" w:sz="0" w:space="0" w:color="auto"/>
                        <w:bottom w:val="none" w:sz="0" w:space="0" w:color="auto"/>
                        <w:right w:val="none" w:sz="0" w:space="0" w:color="auto"/>
                      </w:divBdr>
                      <w:divsChild>
                        <w:div w:id="1854955394">
                          <w:marLeft w:val="0"/>
                          <w:marRight w:val="0"/>
                          <w:marTop w:val="0"/>
                          <w:marBottom w:val="0"/>
                          <w:divBdr>
                            <w:top w:val="none" w:sz="0" w:space="0" w:color="auto"/>
                            <w:left w:val="none" w:sz="0" w:space="0" w:color="auto"/>
                            <w:bottom w:val="none" w:sz="0" w:space="0" w:color="auto"/>
                            <w:right w:val="none" w:sz="0" w:space="0" w:color="auto"/>
                          </w:divBdr>
                        </w:div>
                      </w:divsChild>
                    </w:div>
                    <w:div w:id="785198848">
                      <w:marLeft w:val="0"/>
                      <w:marRight w:val="0"/>
                      <w:marTop w:val="0"/>
                      <w:marBottom w:val="0"/>
                      <w:divBdr>
                        <w:top w:val="none" w:sz="0" w:space="0" w:color="auto"/>
                        <w:left w:val="none" w:sz="0" w:space="0" w:color="auto"/>
                        <w:bottom w:val="none" w:sz="0" w:space="0" w:color="auto"/>
                        <w:right w:val="none" w:sz="0" w:space="0" w:color="auto"/>
                      </w:divBdr>
                    </w:div>
                    <w:div w:id="928540523">
                      <w:marLeft w:val="0"/>
                      <w:marRight w:val="0"/>
                      <w:marTop w:val="0"/>
                      <w:marBottom w:val="0"/>
                      <w:divBdr>
                        <w:top w:val="none" w:sz="0" w:space="0" w:color="auto"/>
                        <w:left w:val="none" w:sz="0" w:space="0" w:color="auto"/>
                        <w:bottom w:val="none" w:sz="0" w:space="0" w:color="auto"/>
                        <w:right w:val="none" w:sz="0" w:space="0" w:color="auto"/>
                      </w:divBdr>
                    </w:div>
                  </w:divsChild>
                </w:div>
                <w:div w:id="1984501300">
                  <w:marLeft w:val="0"/>
                  <w:marRight w:val="0"/>
                  <w:marTop w:val="0"/>
                  <w:marBottom w:val="0"/>
                  <w:divBdr>
                    <w:top w:val="none" w:sz="0" w:space="0" w:color="auto"/>
                    <w:left w:val="none" w:sz="0" w:space="0" w:color="auto"/>
                    <w:bottom w:val="none" w:sz="0" w:space="0" w:color="auto"/>
                    <w:right w:val="none" w:sz="0" w:space="0" w:color="auto"/>
                  </w:divBdr>
                  <w:divsChild>
                    <w:div w:id="161718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877168">
              <w:marLeft w:val="0"/>
              <w:marRight w:val="0"/>
              <w:marTop w:val="0"/>
              <w:marBottom w:val="0"/>
              <w:divBdr>
                <w:top w:val="none" w:sz="0" w:space="0" w:color="auto"/>
                <w:left w:val="none" w:sz="0" w:space="0" w:color="auto"/>
                <w:bottom w:val="none" w:sz="0" w:space="0" w:color="auto"/>
                <w:right w:val="none" w:sz="0" w:space="0" w:color="auto"/>
              </w:divBdr>
              <w:divsChild>
                <w:div w:id="864514646">
                  <w:marLeft w:val="0"/>
                  <w:marRight w:val="0"/>
                  <w:marTop w:val="0"/>
                  <w:marBottom w:val="0"/>
                  <w:divBdr>
                    <w:top w:val="none" w:sz="0" w:space="0" w:color="auto"/>
                    <w:left w:val="none" w:sz="0" w:space="0" w:color="auto"/>
                    <w:bottom w:val="none" w:sz="0" w:space="0" w:color="auto"/>
                    <w:right w:val="none" w:sz="0" w:space="0" w:color="auto"/>
                  </w:divBdr>
                  <w:divsChild>
                    <w:div w:id="1634941735">
                      <w:marLeft w:val="0"/>
                      <w:marRight w:val="0"/>
                      <w:marTop w:val="0"/>
                      <w:marBottom w:val="0"/>
                      <w:divBdr>
                        <w:top w:val="none" w:sz="0" w:space="0" w:color="auto"/>
                        <w:left w:val="none" w:sz="0" w:space="0" w:color="auto"/>
                        <w:bottom w:val="none" w:sz="0" w:space="0" w:color="auto"/>
                        <w:right w:val="none" w:sz="0" w:space="0" w:color="auto"/>
                      </w:divBdr>
                    </w:div>
                    <w:div w:id="1648513164">
                      <w:marLeft w:val="0"/>
                      <w:marRight w:val="0"/>
                      <w:marTop w:val="0"/>
                      <w:marBottom w:val="0"/>
                      <w:divBdr>
                        <w:top w:val="none" w:sz="0" w:space="0" w:color="auto"/>
                        <w:left w:val="none" w:sz="0" w:space="0" w:color="auto"/>
                        <w:bottom w:val="none" w:sz="0" w:space="0" w:color="auto"/>
                        <w:right w:val="none" w:sz="0" w:space="0" w:color="auto"/>
                      </w:divBdr>
                    </w:div>
                  </w:divsChild>
                </w:div>
                <w:div w:id="1551258510">
                  <w:marLeft w:val="0"/>
                  <w:marRight w:val="0"/>
                  <w:marTop w:val="0"/>
                  <w:marBottom w:val="0"/>
                  <w:divBdr>
                    <w:top w:val="none" w:sz="0" w:space="0" w:color="auto"/>
                    <w:left w:val="none" w:sz="0" w:space="0" w:color="auto"/>
                    <w:bottom w:val="none" w:sz="0" w:space="0" w:color="auto"/>
                    <w:right w:val="none" w:sz="0" w:space="0" w:color="auto"/>
                  </w:divBdr>
                  <w:divsChild>
                    <w:div w:id="180600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973503">
              <w:marLeft w:val="0"/>
              <w:marRight w:val="0"/>
              <w:marTop w:val="0"/>
              <w:marBottom w:val="0"/>
              <w:divBdr>
                <w:top w:val="none" w:sz="0" w:space="0" w:color="auto"/>
                <w:left w:val="none" w:sz="0" w:space="0" w:color="auto"/>
                <w:bottom w:val="none" w:sz="0" w:space="0" w:color="auto"/>
                <w:right w:val="none" w:sz="0" w:space="0" w:color="auto"/>
              </w:divBdr>
              <w:divsChild>
                <w:div w:id="1742479650">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799108202">
          <w:marLeft w:val="0"/>
          <w:marRight w:val="0"/>
          <w:marTop w:val="0"/>
          <w:marBottom w:val="0"/>
          <w:divBdr>
            <w:top w:val="none" w:sz="0" w:space="0" w:color="auto"/>
            <w:left w:val="none" w:sz="0" w:space="0" w:color="auto"/>
            <w:bottom w:val="none" w:sz="0" w:space="0" w:color="auto"/>
            <w:right w:val="none" w:sz="0" w:space="0" w:color="auto"/>
          </w:divBdr>
          <w:divsChild>
            <w:div w:id="1929340730">
              <w:marLeft w:val="0"/>
              <w:marRight w:val="0"/>
              <w:marTop w:val="237"/>
              <w:marBottom w:val="0"/>
              <w:divBdr>
                <w:top w:val="none" w:sz="0" w:space="0" w:color="auto"/>
                <w:left w:val="none" w:sz="0" w:space="0" w:color="auto"/>
                <w:bottom w:val="single" w:sz="6" w:space="0" w:color="99CCFF"/>
                <w:right w:val="none" w:sz="0" w:space="0" w:color="auto"/>
              </w:divBdr>
              <w:divsChild>
                <w:div w:id="1390032958">
                  <w:marLeft w:val="0"/>
                  <w:marRight w:val="0"/>
                  <w:marTop w:val="0"/>
                  <w:marBottom w:val="0"/>
                  <w:divBdr>
                    <w:top w:val="none" w:sz="0" w:space="0" w:color="auto"/>
                    <w:left w:val="none" w:sz="0" w:space="0" w:color="auto"/>
                    <w:bottom w:val="none" w:sz="0" w:space="0" w:color="auto"/>
                    <w:right w:val="none" w:sz="0" w:space="0" w:color="auto"/>
                  </w:divBdr>
                  <w:divsChild>
                    <w:div w:id="682247246">
                      <w:marLeft w:val="0"/>
                      <w:marRight w:val="0"/>
                      <w:marTop w:val="0"/>
                      <w:marBottom w:val="0"/>
                      <w:divBdr>
                        <w:top w:val="none" w:sz="0" w:space="0" w:color="auto"/>
                        <w:left w:val="none" w:sz="0" w:space="0" w:color="auto"/>
                        <w:bottom w:val="none" w:sz="0" w:space="0" w:color="auto"/>
                        <w:right w:val="none" w:sz="0" w:space="0" w:color="auto"/>
                      </w:divBdr>
                    </w:div>
                    <w:div w:id="2084067029">
                      <w:marLeft w:val="0"/>
                      <w:marRight w:val="0"/>
                      <w:marTop w:val="0"/>
                      <w:marBottom w:val="0"/>
                      <w:divBdr>
                        <w:top w:val="none" w:sz="0" w:space="0" w:color="auto"/>
                        <w:left w:val="none" w:sz="0" w:space="0" w:color="auto"/>
                        <w:bottom w:val="none" w:sz="0" w:space="0" w:color="auto"/>
                        <w:right w:val="none" w:sz="0" w:space="0" w:color="auto"/>
                      </w:divBdr>
                    </w:div>
                  </w:divsChild>
                </w:div>
                <w:div w:id="666253392">
                  <w:marLeft w:val="0"/>
                  <w:marRight w:val="0"/>
                  <w:marTop w:val="0"/>
                  <w:marBottom w:val="0"/>
                  <w:divBdr>
                    <w:top w:val="none" w:sz="0" w:space="0" w:color="auto"/>
                    <w:left w:val="none" w:sz="0" w:space="0" w:color="auto"/>
                    <w:bottom w:val="none" w:sz="0" w:space="0" w:color="auto"/>
                    <w:right w:val="none" w:sz="0" w:space="0" w:color="auto"/>
                  </w:divBdr>
                  <w:divsChild>
                    <w:div w:id="131533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9088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9243506">
      <w:bodyDiv w:val="1"/>
      <w:marLeft w:val="0"/>
      <w:marRight w:val="0"/>
      <w:marTop w:val="0"/>
      <w:marBottom w:val="0"/>
      <w:divBdr>
        <w:top w:val="none" w:sz="0" w:space="0" w:color="auto"/>
        <w:left w:val="none" w:sz="0" w:space="0" w:color="auto"/>
        <w:bottom w:val="none" w:sz="0" w:space="0" w:color="auto"/>
        <w:right w:val="none" w:sz="0" w:space="0" w:color="auto"/>
      </w:divBdr>
    </w:div>
    <w:div w:id="221987162">
      <w:bodyDiv w:val="1"/>
      <w:marLeft w:val="0"/>
      <w:marRight w:val="0"/>
      <w:marTop w:val="0"/>
      <w:marBottom w:val="0"/>
      <w:divBdr>
        <w:top w:val="none" w:sz="0" w:space="0" w:color="auto"/>
        <w:left w:val="none" w:sz="0" w:space="0" w:color="auto"/>
        <w:bottom w:val="none" w:sz="0" w:space="0" w:color="auto"/>
        <w:right w:val="none" w:sz="0" w:space="0" w:color="auto"/>
      </w:divBdr>
      <w:divsChild>
        <w:div w:id="744452441">
          <w:marLeft w:val="0"/>
          <w:marRight w:val="0"/>
          <w:marTop w:val="0"/>
          <w:marBottom w:val="0"/>
          <w:divBdr>
            <w:top w:val="none" w:sz="0" w:space="0" w:color="auto"/>
            <w:left w:val="none" w:sz="0" w:space="0" w:color="auto"/>
            <w:bottom w:val="none" w:sz="0" w:space="0" w:color="auto"/>
            <w:right w:val="none" w:sz="0" w:space="0" w:color="auto"/>
          </w:divBdr>
        </w:div>
        <w:div w:id="36706509">
          <w:marLeft w:val="0"/>
          <w:marRight w:val="0"/>
          <w:marTop w:val="0"/>
          <w:marBottom w:val="0"/>
          <w:divBdr>
            <w:top w:val="none" w:sz="0" w:space="0" w:color="auto"/>
            <w:left w:val="none" w:sz="0" w:space="0" w:color="auto"/>
            <w:bottom w:val="none" w:sz="0" w:space="0" w:color="auto"/>
            <w:right w:val="none" w:sz="0" w:space="0" w:color="auto"/>
          </w:divBdr>
        </w:div>
      </w:divsChild>
    </w:div>
    <w:div w:id="231428567">
      <w:bodyDiv w:val="1"/>
      <w:marLeft w:val="0"/>
      <w:marRight w:val="0"/>
      <w:marTop w:val="0"/>
      <w:marBottom w:val="0"/>
      <w:divBdr>
        <w:top w:val="none" w:sz="0" w:space="0" w:color="auto"/>
        <w:left w:val="none" w:sz="0" w:space="0" w:color="auto"/>
        <w:bottom w:val="none" w:sz="0" w:space="0" w:color="auto"/>
        <w:right w:val="none" w:sz="0" w:space="0" w:color="auto"/>
      </w:divBdr>
      <w:divsChild>
        <w:div w:id="579485019">
          <w:marLeft w:val="0"/>
          <w:marRight w:val="0"/>
          <w:marTop w:val="0"/>
          <w:marBottom w:val="0"/>
          <w:divBdr>
            <w:top w:val="none" w:sz="0" w:space="0" w:color="auto"/>
            <w:left w:val="none" w:sz="0" w:space="0" w:color="auto"/>
            <w:bottom w:val="none" w:sz="0" w:space="0" w:color="auto"/>
            <w:right w:val="none" w:sz="0" w:space="0" w:color="auto"/>
          </w:divBdr>
          <w:divsChild>
            <w:div w:id="271212868">
              <w:marLeft w:val="0"/>
              <w:marRight w:val="0"/>
              <w:marTop w:val="0"/>
              <w:marBottom w:val="0"/>
              <w:divBdr>
                <w:top w:val="none" w:sz="0" w:space="0" w:color="auto"/>
                <w:left w:val="none" w:sz="0" w:space="0" w:color="auto"/>
                <w:bottom w:val="none" w:sz="0" w:space="0" w:color="auto"/>
                <w:right w:val="none" w:sz="0" w:space="0" w:color="auto"/>
              </w:divBdr>
              <w:divsChild>
                <w:div w:id="206600454">
                  <w:marLeft w:val="0"/>
                  <w:marRight w:val="0"/>
                  <w:marTop w:val="0"/>
                  <w:marBottom w:val="0"/>
                  <w:divBdr>
                    <w:top w:val="none" w:sz="0" w:space="0" w:color="auto"/>
                    <w:left w:val="none" w:sz="0" w:space="0" w:color="auto"/>
                    <w:bottom w:val="none" w:sz="0" w:space="0" w:color="auto"/>
                    <w:right w:val="none" w:sz="0" w:space="0" w:color="auto"/>
                  </w:divBdr>
                  <w:divsChild>
                    <w:div w:id="228853969">
                      <w:marLeft w:val="0"/>
                      <w:marRight w:val="0"/>
                      <w:marTop w:val="0"/>
                      <w:marBottom w:val="0"/>
                      <w:divBdr>
                        <w:top w:val="none" w:sz="0" w:space="0" w:color="auto"/>
                        <w:left w:val="none" w:sz="0" w:space="0" w:color="auto"/>
                        <w:bottom w:val="none" w:sz="0" w:space="0" w:color="auto"/>
                        <w:right w:val="none" w:sz="0" w:space="0" w:color="auto"/>
                      </w:divBdr>
                      <w:divsChild>
                        <w:div w:id="9787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993927">
          <w:marLeft w:val="0"/>
          <w:marRight w:val="0"/>
          <w:marTop w:val="0"/>
          <w:marBottom w:val="0"/>
          <w:divBdr>
            <w:top w:val="none" w:sz="0" w:space="0" w:color="auto"/>
            <w:left w:val="none" w:sz="0" w:space="0" w:color="auto"/>
            <w:bottom w:val="none" w:sz="0" w:space="0" w:color="auto"/>
            <w:right w:val="none" w:sz="0" w:space="0" w:color="auto"/>
          </w:divBdr>
          <w:divsChild>
            <w:div w:id="1943998623">
              <w:marLeft w:val="0"/>
              <w:marRight w:val="0"/>
              <w:marTop w:val="0"/>
              <w:marBottom w:val="0"/>
              <w:divBdr>
                <w:top w:val="none" w:sz="0" w:space="0" w:color="auto"/>
                <w:left w:val="none" w:sz="0" w:space="0" w:color="auto"/>
                <w:bottom w:val="none" w:sz="0" w:space="0" w:color="auto"/>
                <w:right w:val="none" w:sz="0" w:space="0" w:color="auto"/>
              </w:divBdr>
              <w:divsChild>
                <w:div w:id="895361593">
                  <w:marLeft w:val="0"/>
                  <w:marRight w:val="0"/>
                  <w:marTop w:val="0"/>
                  <w:marBottom w:val="0"/>
                  <w:divBdr>
                    <w:top w:val="none" w:sz="0" w:space="0" w:color="auto"/>
                    <w:left w:val="none" w:sz="0" w:space="0" w:color="auto"/>
                    <w:bottom w:val="none" w:sz="0" w:space="0" w:color="auto"/>
                    <w:right w:val="none" w:sz="0" w:space="0" w:color="auto"/>
                  </w:divBdr>
                  <w:divsChild>
                    <w:div w:id="623777441">
                      <w:marLeft w:val="0"/>
                      <w:marRight w:val="0"/>
                      <w:marTop w:val="0"/>
                      <w:marBottom w:val="0"/>
                      <w:divBdr>
                        <w:top w:val="none" w:sz="0" w:space="0" w:color="auto"/>
                        <w:left w:val="none" w:sz="0" w:space="0" w:color="auto"/>
                        <w:bottom w:val="none" w:sz="0" w:space="0" w:color="auto"/>
                        <w:right w:val="none" w:sz="0" w:space="0" w:color="auto"/>
                      </w:divBdr>
                      <w:divsChild>
                        <w:div w:id="157878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241577">
      <w:bodyDiv w:val="1"/>
      <w:marLeft w:val="0"/>
      <w:marRight w:val="0"/>
      <w:marTop w:val="0"/>
      <w:marBottom w:val="0"/>
      <w:divBdr>
        <w:top w:val="none" w:sz="0" w:space="0" w:color="auto"/>
        <w:left w:val="none" w:sz="0" w:space="0" w:color="auto"/>
        <w:bottom w:val="none" w:sz="0" w:space="0" w:color="auto"/>
        <w:right w:val="none" w:sz="0" w:space="0" w:color="auto"/>
      </w:divBdr>
    </w:div>
    <w:div w:id="293830626">
      <w:bodyDiv w:val="1"/>
      <w:marLeft w:val="0"/>
      <w:marRight w:val="0"/>
      <w:marTop w:val="0"/>
      <w:marBottom w:val="0"/>
      <w:divBdr>
        <w:top w:val="none" w:sz="0" w:space="0" w:color="auto"/>
        <w:left w:val="none" w:sz="0" w:space="0" w:color="auto"/>
        <w:bottom w:val="none" w:sz="0" w:space="0" w:color="auto"/>
        <w:right w:val="none" w:sz="0" w:space="0" w:color="auto"/>
      </w:divBdr>
      <w:divsChild>
        <w:div w:id="394939968">
          <w:marLeft w:val="0"/>
          <w:marRight w:val="0"/>
          <w:marTop w:val="0"/>
          <w:marBottom w:val="0"/>
          <w:divBdr>
            <w:top w:val="none" w:sz="0" w:space="0" w:color="auto"/>
            <w:left w:val="none" w:sz="0" w:space="0" w:color="auto"/>
            <w:bottom w:val="none" w:sz="0" w:space="0" w:color="auto"/>
            <w:right w:val="none" w:sz="0" w:space="0" w:color="auto"/>
          </w:divBdr>
          <w:divsChild>
            <w:div w:id="2060208113">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318702314">
      <w:bodyDiv w:val="1"/>
      <w:marLeft w:val="0"/>
      <w:marRight w:val="0"/>
      <w:marTop w:val="0"/>
      <w:marBottom w:val="0"/>
      <w:divBdr>
        <w:top w:val="none" w:sz="0" w:space="0" w:color="auto"/>
        <w:left w:val="none" w:sz="0" w:space="0" w:color="auto"/>
        <w:bottom w:val="none" w:sz="0" w:space="0" w:color="auto"/>
        <w:right w:val="none" w:sz="0" w:space="0" w:color="auto"/>
      </w:divBdr>
    </w:div>
    <w:div w:id="319698743">
      <w:bodyDiv w:val="1"/>
      <w:marLeft w:val="0"/>
      <w:marRight w:val="0"/>
      <w:marTop w:val="0"/>
      <w:marBottom w:val="0"/>
      <w:divBdr>
        <w:top w:val="none" w:sz="0" w:space="0" w:color="auto"/>
        <w:left w:val="none" w:sz="0" w:space="0" w:color="auto"/>
        <w:bottom w:val="none" w:sz="0" w:space="0" w:color="auto"/>
        <w:right w:val="none" w:sz="0" w:space="0" w:color="auto"/>
      </w:divBdr>
      <w:divsChild>
        <w:div w:id="1332176343">
          <w:marLeft w:val="0"/>
          <w:marRight w:val="0"/>
          <w:marTop w:val="0"/>
          <w:marBottom w:val="0"/>
          <w:divBdr>
            <w:top w:val="none" w:sz="0" w:space="0" w:color="auto"/>
            <w:left w:val="none" w:sz="0" w:space="0" w:color="auto"/>
            <w:bottom w:val="none" w:sz="0" w:space="0" w:color="auto"/>
            <w:right w:val="none" w:sz="0" w:space="0" w:color="auto"/>
          </w:divBdr>
        </w:div>
        <w:div w:id="526912220">
          <w:marLeft w:val="0"/>
          <w:marRight w:val="0"/>
          <w:marTop w:val="0"/>
          <w:marBottom w:val="0"/>
          <w:divBdr>
            <w:top w:val="none" w:sz="0" w:space="0" w:color="auto"/>
            <w:left w:val="none" w:sz="0" w:space="0" w:color="auto"/>
            <w:bottom w:val="none" w:sz="0" w:space="0" w:color="auto"/>
            <w:right w:val="none" w:sz="0" w:space="0" w:color="auto"/>
          </w:divBdr>
        </w:div>
        <w:div w:id="588541958">
          <w:marLeft w:val="0"/>
          <w:marRight w:val="0"/>
          <w:marTop w:val="0"/>
          <w:marBottom w:val="0"/>
          <w:divBdr>
            <w:top w:val="none" w:sz="0" w:space="0" w:color="auto"/>
            <w:left w:val="none" w:sz="0" w:space="0" w:color="auto"/>
            <w:bottom w:val="none" w:sz="0" w:space="0" w:color="auto"/>
            <w:right w:val="none" w:sz="0" w:space="0" w:color="auto"/>
          </w:divBdr>
        </w:div>
        <w:div w:id="997000510">
          <w:marLeft w:val="0"/>
          <w:marRight w:val="0"/>
          <w:marTop w:val="0"/>
          <w:marBottom w:val="0"/>
          <w:divBdr>
            <w:top w:val="none" w:sz="0" w:space="0" w:color="auto"/>
            <w:left w:val="none" w:sz="0" w:space="0" w:color="auto"/>
            <w:bottom w:val="none" w:sz="0" w:space="0" w:color="auto"/>
            <w:right w:val="none" w:sz="0" w:space="0" w:color="auto"/>
          </w:divBdr>
        </w:div>
      </w:divsChild>
    </w:div>
    <w:div w:id="330724218">
      <w:bodyDiv w:val="1"/>
      <w:marLeft w:val="0"/>
      <w:marRight w:val="0"/>
      <w:marTop w:val="0"/>
      <w:marBottom w:val="0"/>
      <w:divBdr>
        <w:top w:val="none" w:sz="0" w:space="0" w:color="auto"/>
        <w:left w:val="none" w:sz="0" w:space="0" w:color="auto"/>
        <w:bottom w:val="none" w:sz="0" w:space="0" w:color="auto"/>
        <w:right w:val="none" w:sz="0" w:space="0" w:color="auto"/>
      </w:divBdr>
      <w:divsChild>
        <w:div w:id="570042402">
          <w:marLeft w:val="0"/>
          <w:marRight w:val="0"/>
          <w:marTop w:val="0"/>
          <w:marBottom w:val="0"/>
          <w:divBdr>
            <w:top w:val="none" w:sz="0" w:space="0" w:color="auto"/>
            <w:left w:val="none" w:sz="0" w:space="0" w:color="auto"/>
            <w:bottom w:val="none" w:sz="0" w:space="0" w:color="auto"/>
            <w:right w:val="none" w:sz="0" w:space="0" w:color="auto"/>
          </w:divBdr>
        </w:div>
        <w:div w:id="774133169">
          <w:marLeft w:val="0"/>
          <w:marRight w:val="0"/>
          <w:marTop w:val="0"/>
          <w:marBottom w:val="0"/>
          <w:divBdr>
            <w:top w:val="none" w:sz="0" w:space="0" w:color="auto"/>
            <w:left w:val="none" w:sz="0" w:space="0" w:color="auto"/>
            <w:bottom w:val="none" w:sz="0" w:space="0" w:color="auto"/>
            <w:right w:val="none" w:sz="0" w:space="0" w:color="auto"/>
          </w:divBdr>
        </w:div>
        <w:div w:id="1991862938">
          <w:marLeft w:val="0"/>
          <w:marRight w:val="0"/>
          <w:marTop w:val="0"/>
          <w:marBottom w:val="0"/>
          <w:divBdr>
            <w:top w:val="none" w:sz="0" w:space="0" w:color="auto"/>
            <w:left w:val="none" w:sz="0" w:space="0" w:color="auto"/>
            <w:bottom w:val="none" w:sz="0" w:space="0" w:color="auto"/>
            <w:right w:val="none" w:sz="0" w:space="0" w:color="auto"/>
          </w:divBdr>
        </w:div>
        <w:div w:id="735712203">
          <w:marLeft w:val="0"/>
          <w:marRight w:val="0"/>
          <w:marTop w:val="0"/>
          <w:marBottom w:val="0"/>
          <w:divBdr>
            <w:top w:val="none" w:sz="0" w:space="0" w:color="auto"/>
            <w:left w:val="none" w:sz="0" w:space="0" w:color="auto"/>
            <w:bottom w:val="none" w:sz="0" w:space="0" w:color="auto"/>
            <w:right w:val="none" w:sz="0" w:space="0" w:color="auto"/>
          </w:divBdr>
        </w:div>
        <w:div w:id="1619751186">
          <w:marLeft w:val="0"/>
          <w:marRight w:val="0"/>
          <w:marTop w:val="0"/>
          <w:marBottom w:val="0"/>
          <w:divBdr>
            <w:top w:val="none" w:sz="0" w:space="0" w:color="auto"/>
            <w:left w:val="none" w:sz="0" w:space="0" w:color="auto"/>
            <w:bottom w:val="none" w:sz="0" w:space="0" w:color="auto"/>
            <w:right w:val="none" w:sz="0" w:space="0" w:color="auto"/>
          </w:divBdr>
        </w:div>
        <w:div w:id="1620645799">
          <w:marLeft w:val="0"/>
          <w:marRight w:val="0"/>
          <w:marTop w:val="0"/>
          <w:marBottom w:val="0"/>
          <w:divBdr>
            <w:top w:val="none" w:sz="0" w:space="0" w:color="auto"/>
            <w:left w:val="none" w:sz="0" w:space="0" w:color="auto"/>
            <w:bottom w:val="none" w:sz="0" w:space="0" w:color="auto"/>
            <w:right w:val="none" w:sz="0" w:space="0" w:color="auto"/>
          </w:divBdr>
        </w:div>
        <w:div w:id="1717191924">
          <w:marLeft w:val="0"/>
          <w:marRight w:val="0"/>
          <w:marTop w:val="0"/>
          <w:marBottom w:val="0"/>
          <w:divBdr>
            <w:top w:val="none" w:sz="0" w:space="0" w:color="auto"/>
            <w:left w:val="none" w:sz="0" w:space="0" w:color="auto"/>
            <w:bottom w:val="none" w:sz="0" w:space="0" w:color="auto"/>
            <w:right w:val="none" w:sz="0" w:space="0" w:color="auto"/>
          </w:divBdr>
        </w:div>
        <w:div w:id="1530071938">
          <w:marLeft w:val="0"/>
          <w:marRight w:val="0"/>
          <w:marTop w:val="0"/>
          <w:marBottom w:val="0"/>
          <w:divBdr>
            <w:top w:val="none" w:sz="0" w:space="0" w:color="auto"/>
            <w:left w:val="none" w:sz="0" w:space="0" w:color="auto"/>
            <w:bottom w:val="none" w:sz="0" w:space="0" w:color="auto"/>
            <w:right w:val="none" w:sz="0" w:space="0" w:color="auto"/>
          </w:divBdr>
        </w:div>
        <w:div w:id="1951741501">
          <w:marLeft w:val="0"/>
          <w:marRight w:val="0"/>
          <w:marTop w:val="0"/>
          <w:marBottom w:val="0"/>
          <w:divBdr>
            <w:top w:val="none" w:sz="0" w:space="0" w:color="auto"/>
            <w:left w:val="none" w:sz="0" w:space="0" w:color="auto"/>
            <w:bottom w:val="none" w:sz="0" w:space="0" w:color="auto"/>
            <w:right w:val="none" w:sz="0" w:space="0" w:color="auto"/>
          </w:divBdr>
        </w:div>
        <w:div w:id="1666056689">
          <w:marLeft w:val="0"/>
          <w:marRight w:val="0"/>
          <w:marTop w:val="0"/>
          <w:marBottom w:val="0"/>
          <w:divBdr>
            <w:top w:val="none" w:sz="0" w:space="0" w:color="auto"/>
            <w:left w:val="none" w:sz="0" w:space="0" w:color="auto"/>
            <w:bottom w:val="none" w:sz="0" w:space="0" w:color="auto"/>
            <w:right w:val="none" w:sz="0" w:space="0" w:color="auto"/>
          </w:divBdr>
        </w:div>
      </w:divsChild>
    </w:div>
    <w:div w:id="365837861">
      <w:bodyDiv w:val="1"/>
      <w:marLeft w:val="0"/>
      <w:marRight w:val="0"/>
      <w:marTop w:val="0"/>
      <w:marBottom w:val="0"/>
      <w:divBdr>
        <w:top w:val="none" w:sz="0" w:space="0" w:color="auto"/>
        <w:left w:val="none" w:sz="0" w:space="0" w:color="auto"/>
        <w:bottom w:val="none" w:sz="0" w:space="0" w:color="auto"/>
        <w:right w:val="none" w:sz="0" w:space="0" w:color="auto"/>
      </w:divBdr>
    </w:div>
    <w:div w:id="368265766">
      <w:bodyDiv w:val="1"/>
      <w:marLeft w:val="0"/>
      <w:marRight w:val="0"/>
      <w:marTop w:val="0"/>
      <w:marBottom w:val="0"/>
      <w:divBdr>
        <w:top w:val="none" w:sz="0" w:space="0" w:color="auto"/>
        <w:left w:val="none" w:sz="0" w:space="0" w:color="auto"/>
        <w:bottom w:val="none" w:sz="0" w:space="0" w:color="auto"/>
        <w:right w:val="none" w:sz="0" w:space="0" w:color="auto"/>
      </w:divBdr>
    </w:div>
    <w:div w:id="382293349">
      <w:bodyDiv w:val="1"/>
      <w:marLeft w:val="0"/>
      <w:marRight w:val="0"/>
      <w:marTop w:val="0"/>
      <w:marBottom w:val="0"/>
      <w:divBdr>
        <w:top w:val="none" w:sz="0" w:space="0" w:color="auto"/>
        <w:left w:val="none" w:sz="0" w:space="0" w:color="auto"/>
        <w:bottom w:val="none" w:sz="0" w:space="0" w:color="auto"/>
        <w:right w:val="none" w:sz="0" w:space="0" w:color="auto"/>
      </w:divBdr>
      <w:divsChild>
        <w:div w:id="292448527">
          <w:marLeft w:val="0"/>
          <w:marRight w:val="0"/>
          <w:marTop w:val="0"/>
          <w:marBottom w:val="0"/>
          <w:divBdr>
            <w:top w:val="none" w:sz="0" w:space="0" w:color="auto"/>
            <w:left w:val="none" w:sz="0" w:space="0" w:color="auto"/>
            <w:bottom w:val="none" w:sz="0" w:space="0" w:color="auto"/>
            <w:right w:val="none" w:sz="0" w:space="0" w:color="auto"/>
          </w:divBdr>
        </w:div>
        <w:div w:id="2140878695">
          <w:marLeft w:val="0"/>
          <w:marRight w:val="0"/>
          <w:marTop w:val="0"/>
          <w:marBottom w:val="0"/>
          <w:divBdr>
            <w:top w:val="none" w:sz="0" w:space="0" w:color="auto"/>
            <w:left w:val="none" w:sz="0" w:space="0" w:color="auto"/>
            <w:bottom w:val="none" w:sz="0" w:space="0" w:color="auto"/>
            <w:right w:val="none" w:sz="0" w:space="0" w:color="auto"/>
          </w:divBdr>
        </w:div>
        <w:div w:id="2029792939">
          <w:marLeft w:val="0"/>
          <w:marRight w:val="0"/>
          <w:marTop w:val="0"/>
          <w:marBottom w:val="0"/>
          <w:divBdr>
            <w:top w:val="none" w:sz="0" w:space="0" w:color="auto"/>
            <w:left w:val="none" w:sz="0" w:space="0" w:color="auto"/>
            <w:bottom w:val="none" w:sz="0" w:space="0" w:color="auto"/>
            <w:right w:val="none" w:sz="0" w:space="0" w:color="auto"/>
          </w:divBdr>
        </w:div>
        <w:div w:id="1494030329">
          <w:marLeft w:val="0"/>
          <w:marRight w:val="0"/>
          <w:marTop w:val="0"/>
          <w:marBottom w:val="0"/>
          <w:divBdr>
            <w:top w:val="none" w:sz="0" w:space="0" w:color="auto"/>
            <w:left w:val="none" w:sz="0" w:space="0" w:color="auto"/>
            <w:bottom w:val="none" w:sz="0" w:space="0" w:color="auto"/>
            <w:right w:val="none" w:sz="0" w:space="0" w:color="auto"/>
          </w:divBdr>
        </w:div>
        <w:div w:id="1015884056">
          <w:marLeft w:val="0"/>
          <w:marRight w:val="0"/>
          <w:marTop w:val="0"/>
          <w:marBottom w:val="0"/>
          <w:divBdr>
            <w:top w:val="none" w:sz="0" w:space="0" w:color="auto"/>
            <w:left w:val="none" w:sz="0" w:space="0" w:color="auto"/>
            <w:bottom w:val="none" w:sz="0" w:space="0" w:color="auto"/>
            <w:right w:val="none" w:sz="0" w:space="0" w:color="auto"/>
          </w:divBdr>
        </w:div>
      </w:divsChild>
    </w:div>
    <w:div w:id="394164470">
      <w:bodyDiv w:val="1"/>
      <w:marLeft w:val="0"/>
      <w:marRight w:val="0"/>
      <w:marTop w:val="0"/>
      <w:marBottom w:val="0"/>
      <w:divBdr>
        <w:top w:val="none" w:sz="0" w:space="0" w:color="auto"/>
        <w:left w:val="none" w:sz="0" w:space="0" w:color="auto"/>
        <w:bottom w:val="none" w:sz="0" w:space="0" w:color="auto"/>
        <w:right w:val="none" w:sz="0" w:space="0" w:color="auto"/>
      </w:divBdr>
      <w:divsChild>
        <w:div w:id="1547183084">
          <w:marLeft w:val="0"/>
          <w:marRight w:val="0"/>
          <w:marTop w:val="0"/>
          <w:marBottom w:val="0"/>
          <w:divBdr>
            <w:top w:val="none" w:sz="0" w:space="0" w:color="auto"/>
            <w:left w:val="none" w:sz="0" w:space="0" w:color="auto"/>
            <w:bottom w:val="none" w:sz="0" w:space="0" w:color="auto"/>
            <w:right w:val="none" w:sz="0" w:space="0" w:color="auto"/>
          </w:divBdr>
        </w:div>
        <w:div w:id="814296501">
          <w:marLeft w:val="0"/>
          <w:marRight w:val="0"/>
          <w:marTop w:val="0"/>
          <w:marBottom w:val="0"/>
          <w:divBdr>
            <w:top w:val="none" w:sz="0" w:space="0" w:color="auto"/>
            <w:left w:val="none" w:sz="0" w:space="0" w:color="auto"/>
            <w:bottom w:val="none" w:sz="0" w:space="0" w:color="auto"/>
            <w:right w:val="none" w:sz="0" w:space="0" w:color="auto"/>
          </w:divBdr>
        </w:div>
        <w:div w:id="98725659">
          <w:marLeft w:val="0"/>
          <w:marRight w:val="0"/>
          <w:marTop w:val="0"/>
          <w:marBottom w:val="0"/>
          <w:divBdr>
            <w:top w:val="none" w:sz="0" w:space="0" w:color="auto"/>
            <w:left w:val="none" w:sz="0" w:space="0" w:color="auto"/>
            <w:bottom w:val="none" w:sz="0" w:space="0" w:color="auto"/>
            <w:right w:val="none" w:sz="0" w:space="0" w:color="auto"/>
          </w:divBdr>
        </w:div>
      </w:divsChild>
    </w:div>
    <w:div w:id="398788938">
      <w:bodyDiv w:val="1"/>
      <w:marLeft w:val="0"/>
      <w:marRight w:val="0"/>
      <w:marTop w:val="0"/>
      <w:marBottom w:val="0"/>
      <w:divBdr>
        <w:top w:val="none" w:sz="0" w:space="0" w:color="auto"/>
        <w:left w:val="none" w:sz="0" w:space="0" w:color="auto"/>
        <w:bottom w:val="none" w:sz="0" w:space="0" w:color="auto"/>
        <w:right w:val="none" w:sz="0" w:space="0" w:color="auto"/>
      </w:divBdr>
    </w:div>
    <w:div w:id="399447781">
      <w:bodyDiv w:val="1"/>
      <w:marLeft w:val="0"/>
      <w:marRight w:val="0"/>
      <w:marTop w:val="0"/>
      <w:marBottom w:val="0"/>
      <w:divBdr>
        <w:top w:val="none" w:sz="0" w:space="0" w:color="auto"/>
        <w:left w:val="none" w:sz="0" w:space="0" w:color="auto"/>
        <w:bottom w:val="none" w:sz="0" w:space="0" w:color="auto"/>
        <w:right w:val="none" w:sz="0" w:space="0" w:color="auto"/>
      </w:divBdr>
      <w:divsChild>
        <w:div w:id="1941377856">
          <w:marLeft w:val="0"/>
          <w:marRight w:val="0"/>
          <w:marTop w:val="0"/>
          <w:marBottom w:val="0"/>
          <w:divBdr>
            <w:top w:val="none" w:sz="0" w:space="0" w:color="auto"/>
            <w:left w:val="none" w:sz="0" w:space="0" w:color="auto"/>
            <w:bottom w:val="none" w:sz="0" w:space="0" w:color="auto"/>
            <w:right w:val="none" w:sz="0" w:space="0" w:color="auto"/>
          </w:divBdr>
          <w:divsChild>
            <w:div w:id="115569352">
              <w:marLeft w:val="0"/>
              <w:marRight w:val="0"/>
              <w:marTop w:val="0"/>
              <w:marBottom w:val="0"/>
              <w:divBdr>
                <w:top w:val="none" w:sz="0" w:space="0" w:color="auto"/>
                <w:left w:val="none" w:sz="0" w:space="0" w:color="auto"/>
                <w:bottom w:val="none" w:sz="0" w:space="0" w:color="auto"/>
                <w:right w:val="none" w:sz="0" w:space="0" w:color="auto"/>
              </w:divBdr>
            </w:div>
            <w:div w:id="2094664953">
              <w:marLeft w:val="0"/>
              <w:marRight w:val="0"/>
              <w:marTop w:val="0"/>
              <w:marBottom w:val="0"/>
              <w:divBdr>
                <w:top w:val="none" w:sz="0" w:space="0" w:color="auto"/>
                <w:left w:val="none" w:sz="0" w:space="0" w:color="auto"/>
                <w:bottom w:val="none" w:sz="0" w:space="0" w:color="auto"/>
                <w:right w:val="none" w:sz="0" w:space="0" w:color="auto"/>
              </w:divBdr>
            </w:div>
            <w:div w:id="1176529465">
              <w:marLeft w:val="0"/>
              <w:marRight w:val="0"/>
              <w:marTop w:val="0"/>
              <w:marBottom w:val="0"/>
              <w:divBdr>
                <w:top w:val="none" w:sz="0" w:space="0" w:color="auto"/>
                <w:left w:val="none" w:sz="0" w:space="0" w:color="auto"/>
                <w:bottom w:val="none" w:sz="0" w:space="0" w:color="auto"/>
                <w:right w:val="none" w:sz="0" w:space="0" w:color="auto"/>
              </w:divBdr>
            </w:div>
            <w:div w:id="1082600077">
              <w:marLeft w:val="0"/>
              <w:marRight w:val="0"/>
              <w:marTop w:val="0"/>
              <w:marBottom w:val="0"/>
              <w:divBdr>
                <w:top w:val="none" w:sz="0" w:space="0" w:color="auto"/>
                <w:left w:val="none" w:sz="0" w:space="0" w:color="auto"/>
                <w:bottom w:val="none" w:sz="0" w:space="0" w:color="auto"/>
                <w:right w:val="none" w:sz="0" w:space="0" w:color="auto"/>
              </w:divBdr>
            </w:div>
            <w:div w:id="2058116660">
              <w:marLeft w:val="0"/>
              <w:marRight w:val="0"/>
              <w:marTop w:val="0"/>
              <w:marBottom w:val="0"/>
              <w:divBdr>
                <w:top w:val="none" w:sz="0" w:space="0" w:color="auto"/>
                <w:left w:val="none" w:sz="0" w:space="0" w:color="auto"/>
                <w:bottom w:val="none" w:sz="0" w:space="0" w:color="auto"/>
                <w:right w:val="none" w:sz="0" w:space="0" w:color="auto"/>
              </w:divBdr>
            </w:div>
            <w:div w:id="561255925">
              <w:marLeft w:val="0"/>
              <w:marRight w:val="0"/>
              <w:marTop w:val="0"/>
              <w:marBottom w:val="0"/>
              <w:divBdr>
                <w:top w:val="none" w:sz="0" w:space="0" w:color="auto"/>
                <w:left w:val="none" w:sz="0" w:space="0" w:color="auto"/>
                <w:bottom w:val="none" w:sz="0" w:space="0" w:color="auto"/>
                <w:right w:val="none" w:sz="0" w:space="0" w:color="auto"/>
              </w:divBdr>
            </w:div>
            <w:div w:id="1484617487">
              <w:marLeft w:val="0"/>
              <w:marRight w:val="0"/>
              <w:marTop w:val="0"/>
              <w:marBottom w:val="0"/>
              <w:divBdr>
                <w:top w:val="none" w:sz="0" w:space="0" w:color="auto"/>
                <w:left w:val="none" w:sz="0" w:space="0" w:color="auto"/>
                <w:bottom w:val="none" w:sz="0" w:space="0" w:color="auto"/>
                <w:right w:val="none" w:sz="0" w:space="0" w:color="auto"/>
              </w:divBdr>
            </w:div>
            <w:div w:id="38032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33683">
      <w:bodyDiv w:val="1"/>
      <w:marLeft w:val="0"/>
      <w:marRight w:val="0"/>
      <w:marTop w:val="0"/>
      <w:marBottom w:val="0"/>
      <w:divBdr>
        <w:top w:val="none" w:sz="0" w:space="0" w:color="auto"/>
        <w:left w:val="none" w:sz="0" w:space="0" w:color="auto"/>
        <w:bottom w:val="none" w:sz="0" w:space="0" w:color="auto"/>
        <w:right w:val="none" w:sz="0" w:space="0" w:color="auto"/>
      </w:divBdr>
    </w:div>
    <w:div w:id="436409869">
      <w:bodyDiv w:val="1"/>
      <w:marLeft w:val="0"/>
      <w:marRight w:val="0"/>
      <w:marTop w:val="0"/>
      <w:marBottom w:val="0"/>
      <w:divBdr>
        <w:top w:val="none" w:sz="0" w:space="0" w:color="auto"/>
        <w:left w:val="none" w:sz="0" w:space="0" w:color="auto"/>
        <w:bottom w:val="none" w:sz="0" w:space="0" w:color="auto"/>
        <w:right w:val="none" w:sz="0" w:space="0" w:color="auto"/>
      </w:divBdr>
      <w:divsChild>
        <w:div w:id="565259570">
          <w:marLeft w:val="0"/>
          <w:marRight w:val="0"/>
          <w:marTop w:val="0"/>
          <w:marBottom w:val="0"/>
          <w:divBdr>
            <w:top w:val="none" w:sz="0" w:space="0" w:color="auto"/>
            <w:left w:val="none" w:sz="0" w:space="0" w:color="auto"/>
            <w:bottom w:val="none" w:sz="0" w:space="0" w:color="auto"/>
            <w:right w:val="none" w:sz="0" w:space="0" w:color="auto"/>
          </w:divBdr>
          <w:divsChild>
            <w:div w:id="192116452">
              <w:marLeft w:val="0"/>
              <w:marRight w:val="0"/>
              <w:marTop w:val="0"/>
              <w:marBottom w:val="0"/>
              <w:divBdr>
                <w:top w:val="none" w:sz="0" w:space="0" w:color="auto"/>
                <w:left w:val="none" w:sz="0" w:space="0" w:color="auto"/>
                <w:bottom w:val="none" w:sz="0" w:space="0" w:color="auto"/>
                <w:right w:val="none" w:sz="0" w:space="0" w:color="auto"/>
              </w:divBdr>
              <w:divsChild>
                <w:div w:id="58292303">
                  <w:marLeft w:val="0"/>
                  <w:marRight w:val="0"/>
                  <w:marTop w:val="0"/>
                  <w:marBottom w:val="0"/>
                  <w:divBdr>
                    <w:top w:val="none" w:sz="0" w:space="0" w:color="auto"/>
                    <w:left w:val="none" w:sz="0" w:space="0" w:color="auto"/>
                    <w:bottom w:val="none" w:sz="0" w:space="0" w:color="auto"/>
                    <w:right w:val="none" w:sz="0" w:space="0" w:color="auto"/>
                  </w:divBdr>
                  <w:divsChild>
                    <w:div w:id="1844541080">
                      <w:marLeft w:val="0"/>
                      <w:marRight w:val="0"/>
                      <w:marTop w:val="0"/>
                      <w:marBottom w:val="0"/>
                      <w:divBdr>
                        <w:top w:val="none" w:sz="0" w:space="0" w:color="auto"/>
                        <w:left w:val="none" w:sz="0" w:space="0" w:color="auto"/>
                        <w:bottom w:val="none" w:sz="0" w:space="0" w:color="auto"/>
                        <w:right w:val="none" w:sz="0" w:space="0" w:color="auto"/>
                      </w:divBdr>
                      <w:divsChild>
                        <w:div w:id="142923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46478">
          <w:marLeft w:val="0"/>
          <w:marRight w:val="0"/>
          <w:marTop w:val="0"/>
          <w:marBottom w:val="0"/>
          <w:divBdr>
            <w:top w:val="none" w:sz="0" w:space="0" w:color="auto"/>
            <w:left w:val="none" w:sz="0" w:space="0" w:color="auto"/>
            <w:bottom w:val="none" w:sz="0" w:space="0" w:color="auto"/>
            <w:right w:val="none" w:sz="0" w:space="0" w:color="auto"/>
          </w:divBdr>
          <w:divsChild>
            <w:div w:id="905190408">
              <w:marLeft w:val="0"/>
              <w:marRight w:val="0"/>
              <w:marTop w:val="0"/>
              <w:marBottom w:val="0"/>
              <w:divBdr>
                <w:top w:val="none" w:sz="0" w:space="0" w:color="auto"/>
                <w:left w:val="none" w:sz="0" w:space="0" w:color="auto"/>
                <w:bottom w:val="none" w:sz="0" w:space="0" w:color="auto"/>
                <w:right w:val="none" w:sz="0" w:space="0" w:color="auto"/>
              </w:divBdr>
              <w:divsChild>
                <w:div w:id="43141320">
                  <w:marLeft w:val="0"/>
                  <w:marRight w:val="0"/>
                  <w:marTop w:val="0"/>
                  <w:marBottom w:val="0"/>
                  <w:divBdr>
                    <w:top w:val="none" w:sz="0" w:space="0" w:color="auto"/>
                    <w:left w:val="none" w:sz="0" w:space="0" w:color="auto"/>
                    <w:bottom w:val="none" w:sz="0" w:space="0" w:color="auto"/>
                    <w:right w:val="none" w:sz="0" w:space="0" w:color="auto"/>
                  </w:divBdr>
                  <w:divsChild>
                    <w:div w:id="239944222">
                      <w:marLeft w:val="0"/>
                      <w:marRight w:val="0"/>
                      <w:marTop w:val="0"/>
                      <w:marBottom w:val="0"/>
                      <w:divBdr>
                        <w:top w:val="none" w:sz="0" w:space="0" w:color="auto"/>
                        <w:left w:val="none" w:sz="0" w:space="0" w:color="auto"/>
                        <w:bottom w:val="none" w:sz="0" w:space="0" w:color="auto"/>
                        <w:right w:val="none" w:sz="0" w:space="0" w:color="auto"/>
                      </w:divBdr>
                      <w:divsChild>
                        <w:div w:id="167676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833961">
      <w:bodyDiv w:val="1"/>
      <w:marLeft w:val="0"/>
      <w:marRight w:val="0"/>
      <w:marTop w:val="0"/>
      <w:marBottom w:val="0"/>
      <w:divBdr>
        <w:top w:val="none" w:sz="0" w:space="0" w:color="auto"/>
        <w:left w:val="none" w:sz="0" w:space="0" w:color="auto"/>
        <w:bottom w:val="none" w:sz="0" w:space="0" w:color="auto"/>
        <w:right w:val="none" w:sz="0" w:space="0" w:color="auto"/>
      </w:divBdr>
    </w:div>
    <w:div w:id="480660833">
      <w:bodyDiv w:val="1"/>
      <w:marLeft w:val="0"/>
      <w:marRight w:val="0"/>
      <w:marTop w:val="0"/>
      <w:marBottom w:val="0"/>
      <w:divBdr>
        <w:top w:val="none" w:sz="0" w:space="0" w:color="auto"/>
        <w:left w:val="none" w:sz="0" w:space="0" w:color="auto"/>
        <w:bottom w:val="none" w:sz="0" w:space="0" w:color="auto"/>
        <w:right w:val="none" w:sz="0" w:space="0" w:color="auto"/>
      </w:divBdr>
    </w:div>
    <w:div w:id="485364763">
      <w:bodyDiv w:val="1"/>
      <w:marLeft w:val="0"/>
      <w:marRight w:val="0"/>
      <w:marTop w:val="0"/>
      <w:marBottom w:val="0"/>
      <w:divBdr>
        <w:top w:val="none" w:sz="0" w:space="0" w:color="auto"/>
        <w:left w:val="none" w:sz="0" w:space="0" w:color="auto"/>
        <w:bottom w:val="none" w:sz="0" w:space="0" w:color="auto"/>
        <w:right w:val="none" w:sz="0" w:space="0" w:color="auto"/>
      </w:divBdr>
    </w:div>
    <w:div w:id="489446037">
      <w:bodyDiv w:val="1"/>
      <w:marLeft w:val="0"/>
      <w:marRight w:val="0"/>
      <w:marTop w:val="0"/>
      <w:marBottom w:val="0"/>
      <w:divBdr>
        <w:top w:val="none" w:sz="0" w:space="0" w:color="auto"/>
        <w:left w:val="none" w:sz="0" w:space="0" w:color="auto"/>
        <w:bottom w:val="none" w:sz="0" w:space="0" w:color="auto"/>
        <w:right w:val="none" w:sz="0" w:space="0" w:color="auto"/>
      </w:divBdr>
    </w:div>
    <w:div w:id="505825652">
      <w:bodyDiv w:val="1"/>
      <w:marLeft w:val="0"/>
      <w:marRight w:val="0"/>
      <w:marTop w:val="0"/>
      <w:marBottom w:val="0"/>
      <w:divBdr>
        <w:top w:val="none" w:sz="0" w:space="0" w:color="auto"/>
        <w:left w:val="none" w:sz="0" w:space="0" w:color="auto"/>
        <w:bottom w:val="none" w:sz="0" w:space="0" w:color="auto"/>
        <w:right w:val="none" w:sz="0" w:space="0" w:color="auto"/>
      </w:divBdr>
    </w:div>
    <w:div w:id="507451714">
      <w:bodyDiv w:val="1"/>
      <w:marLeft w:val="0"/>
      <w:marRight w:val="0"/>
      <w:marTop w:val="0"/>
      <w:marBottom w:val="0"/>
      <w:divBdr>
        <w:top w:val="none" w:sz="0" w:space="0" w:color="auto"/>
        <w:left w:val="none" w:sz="0" w:space="0" w:color="auto"/>
        <w:bottom w:val="none" w:sz="0" w:space="0" w:color="auto"/>
        <w:right w:val="none" w:sz="0" w:space="0" w:color="auto"/>
      </w:divBdr>
    </w:div>
    <w:div w:id="521162689">
      <w:bodyDiv w:val="1"/>
      <w:marLeft w:val="0"/>
      <w:marRight w:val="0"/>
      <w:marTop w:val="0"/>
      <w:marBottom w:val="0"/>
      <w:divBdr>
        <w:top w:val="none" w:sz="0" w:space="0" w:color="auto"/>
        <w:left w:val="none" w:sz="0" w:space="0" w:color="auto"/>
        <w:bottom w:val="none" w:sz="0" w:space="0" w:color="auto"/>
        <w:right w:val="none" w:sz="0" w:space="0" w:color="auto"/>
      </w:divBdr>
      <w:divsChild>
        <w:div w:id="2135517038">
          <w:marLeft w:val="0"/>
          <w:marRight w:val="0"/>
          <w:marTop w:val="0"/>
          <w:marBottom w:val="0"/>
          <w:divBdr>
            <w:top w:val="none" w:sz="0" w:space="0" w:color="auto"/>
            <w:left w:val="none" w:sz="0" w:space="0" w:color="auto"/>
            <w:bottom w:val="none" w:sz="0" w:space="0" w:color="auto"/>
            <w:right w:val="none" w:sz="0" w:space="0" w:color="auto"/>
          </w:divBdr>
          <w:divsChild>
            <w:div w:id="1964460789">
              <w:marLeft w:val="0"/>
              <w:marRight w:val="0"/>
              <w:marTop w:val="0"/>
              <w:marBottom w:val="0"/>
              <w:divBdr>
                <w:top w:val="none" w:sz="0" w:space="0" w:color="auto"/>
                <w:left w:val="none" w:sz="0" w:space="0" w:color="auto"/>
                <w:bottom w:val="none" w:sz="0" w:space="0" w:color="auto"/>
                <w:right w:val="none" w:sz="0" w:space="0" w:color="auto"/>
              </w:divBdr>
              <w:divsChild>
                <w:div w:id="1348143071">
                  <w:marLeft w:val="0"/>
                  <w:marRight w:val="0"/>
                  <w:marTop w:val="0"/>
                  <w:marBottom w:val="0"/>
                  <w:divBdr>
                    <w:top w:val="none" w:sz="0" w:space="0" w:color="auto"/>
                    <w:left w:val="none" w:sz="0" w:space="0" w:color="auto"/>
                    <w:bottom w:val="none" w:sz="0" w:space="0" w:color="auto"/>
                    <w:right w:val="none" w:sz="0" w:space="0" w:color="auto"/>
                  </w:divBdr>
                  <w:divsChild>
                    <w:div w:id="2116055026">
                      <w:marLeft w:val="0"/>
                      <w:marRight w:val="0"/>
                      <w:marTop w:val="0"/>
                      <w:marBottom w:val="0"/>
                      <w:divBdr>
                        <w:top w:val="none" w:sz="0" w:space="0" w:color="auto"/>
                        <w:left w:val="none" w:sz="0" w:space="0" w:color="auto"/>
                        <w:bottom w:val="none" w:sz="0" w:space="0" w:color="auto"/>
                        <w:right w:val="none" w:sz="0" w:space="0" w:color="auto"/>
                      </w:divBdr>
                      <w:divsChild>
                        <w:div w:id="1937325824">
                          <w:marLeft w:val="0"/>
                          <w:marRight w:val="0"/>
                          <w:marTop w:val="0"/>
                          <w:marBottom w:val="0"/>
                          <w:divBdr>
                            <w:top w:val="none" w:sz="0" w:space="0" w:color="auto"/>
                            <w:left w:val="none" w:sz="0" w:space="0" w:color="auto"/>
                            <w:bottom w:val="none" w:sz="0" w:space="0" w:color="auto"/>
                            <w:right w:val="none" w:sz="0" w:space="0" w:color="auto"/>
                          </w:divBdr>
                          <w:divsChild>
                            <w:div w:id="1785996410">
                              <w:marLeft w:val="0"/>
                              <w:marRight w:val="0"/>
                              <w:marTop w:val="0"/>
                              <w:marBottom w:val="0"/>
                              <w:divBdr>
                                <w:top w:val="none" w:sz="0" w:space="0" w:color="auto"/>
                                <w:left w:val="none" w:sz="0" w:space="0" w:color="auto"/>
                                <w:bottom w:val="none" w:sz="0" w:space="0" w:color="auto"/>
                                <w:right w:val="none" w:sz="0" w:space="0" w:color="auto"/>
                              </w:divBdr>
                              <w:divsChild>
                                <w:div w:id="110709765">
                                  <w:marLeft w:val="0"/>
                                  <w:marRight w:val="0"/>
                                  <w:marTop w:val="0"/>
                                  <w:marBottom w:val="0"/>
                                  <w:divBdr>
                                    <w:top w:val="none" w:sz="0" w:space="0" w:color="auto"/>
                                    <w:left w:val="none" w:sz="0" w:space="0" w:color="auto"/>
                                    <w:bottom w:val="none" w:sz="0" w:space="0" w:color="auto"/>
                                    <w:right w:val="none" w:sz="0" w:space="0" w:color="auto"/>
                                  </w:divBdr>
                                  <w:divsChild>
                                    <w:div w:id="1397821821">
                                      <w:marLeft w:val="0"/>
                                      <w:marRight w:val="0"/>
                                      <w:marTop w:val="0"/>
                                      <w:marBottom w:val="0"/>
                                      <w:divBdr>
                                        <w:top w:val="none" w:sz="0" w:space="0" w:color="auto"/>
                                        <w:left w:val="none" w:sz="0" w:space="0" w:color="auto"/>
                                        <w:bottom w:val="none" w:sz="0" w:space="0" w:color="auto"/>
                                        <w:right w:val="none" w:sz="0" w:space="0" w:color="auto"/>
                                      </w:divBdr>
                                      <w:divsChild>
                                        <w:div w:id="296570247">
                                          <w:marLeft w:val="0"/>
                                          <w:marRight w:val="0"/>
                                          <w:marTop w:val="0"/>
                                          <w:marBottom w:val="0"/>
                                          <w:divBdr>
                                            <w:top w:val="none" w:sz="0" w:space="0" w:color="auto"/>
                                            <w:left w:val="none" w:sz="0" w:space="0" w:color="auto"/>
                                            <w:bottom w:val="none" w:sz="0" w:space="0" w:color="auto"/>
                                            <w:right w:val="none" w:sz="0" w:space="0" w:color="auto"/>
                                          </w:divBdr>
                                          <w:divsChild>
                                            <w:div w:id="1855149906">
                                              <w:marLeft w:val="0"/>
                                              <w:marRight w:val="0"/>
                                              <w:marTop w:val="0"/>
                                              <w:marBottom w:val="0"/>
                                              <w:divBdr>
                                                <w:top w:val="none" w:sz="0" w:space="0" w:color="auto"/>
                                                <w:left w:val="none" w:sz="0" w:space="0" w:color="auto"/>
                                                <w:bottom w:val="none" w:sz="0" w:space="0" w:color="auto"/>
                                                <w:right w:val="none" w:sz="0" w:space="0" w:color="auto"/>
                                              </w:divBdr>
                                              <w:divsChild>
                                                <w:div w:id="166139131">
                                                  <w:marLeft w:val="0"/>
                                                  <w:marRight w:val="0"/>
                                                  <w:marTop w:val="0"/>
                                                  <w:marBottom w:val="0"/>
                                                  <w:divBdr>
                                                    <w:top w:val="none" w:sz="0" w:space="0" w:color="auto"/>
                                                    <w:left w:val="none" w:sz="0" w:space="0" w:color="auto"/>
                                                    <w:bottom w:val="none" w:sz="0" w:space="0" w:color="auto"/>
                                                    <w:right w:val="none" w:sz="0" w:space="0" w:color="auto"/>
                                                  </w:divBdr>
                                                  <w:divsChild>
                                                    <w:div w:id="832837687">
                                                      <w:marLeft w:val="0"/>
                                                      <w:marRight w:val="0"/>
                                                      <w:marTop w:val="0"/>
                                                      <w:marBottom w:val="0"/>
                                                      <w:divBdr>
                                                        <w:top w:val="none" w:sz="0" w:space="0" w:color="auto"/>
                                                        <w:left w:val="none" w:sz="0" w:space="0" w:color="auto"/>
                                                        <w:bottom w:val="none" w:sz="0" w:space="0" w:color="auto"/>
                                                        <w:right w:val="none" w:sz="0" w:space="0" w:color="auto"/>
                                                      </w:divBdr>
                                                      <w:divsChild>
                                                        <w:div w:id="11885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4621237">
              <w:marLeft w:val="0"/>
              <w:marRight w:val="0"/>
              <w:marTop w:val="0"/>
              <w:marBottom w:val="0"/>
              <w:divBdr>
                <w:top w:val="none" w:sz="0" w:space="0" w:color="auto"/>
                <w:left w:val="none" w:sz="0" w:space="0" w:color="auto"/>
                <w:bottom w:val="none" w:sz="0" w:space="0" w:color="auto"/>
                <w:right w:val="none" w:sz="0" w:space="0" w:color="auto"/>
              </w:divBdr>
              <w:divsChild>
                <w:div w:id="203903988">
                  <w:marLeft w:val="0"/>
                  <w:marRight w:val="0"/>
                  <w:marTop w:val="0"/>
                  <w:marBottom w:val="0"/>
                  <w:divBdr>
                    <w:top w:val="none" w:sz="0" w:space="0" w:color="auto"/>
                    <w:left w:val="none" w:sz="0" w:space="0" w:color="auto"/>
                    <w:bottom w:val="none" w:sz="0" w:space="0" w:color="auto"/>
                    <w:right w:val="none" w:sz="0" w:space="0" w:color="auto"/>
                  </w:divBdr>
                  <w:divsChild>
                    <w:div w:id="1064722008">
                      <w:marLeft w:val="0"/>
                      <w:marRight w:val="0"/>
                      <w:marTop w:val="0"/>
                      <w:marBottom w:val="0"/>
                      <w:divBdr>
                        <w:top w:val="none" w:sz="0" w:space="0" w:color="auto"/>
                        <w:left w:val="none" w:sz="0" w:space="0" w:color="auto"/>
                        <w:bottom w:val="none" w:sz="0" w:space="0" w:color="auto"/>
                        <w:right w:val="none" w:sz="0" w:space="0" w:color="auto"/>
                      </w:divBdr>
                      <w:divsChild>
                        <w:div w:id="919559493">
                          <w:marLeft w:val="0"/>
                          <w:marRight w:val="0"/>
                          <w:marTop w:val="0"/>
                          <w:marBottom w:val="0"/>
                          <w:divBdr>
                            <w:top w:val="none" w:sz="0" w:space="0" w:color="auto"/>
                            <w:left w:val="none" w:sz="0" w:space="0" w:color="auto"/>
                            <w:bottom w:val="none" w:sz="0" w:space="0" w:color="auto"/>
                            <w:right w:val="none" w:sz="0" w:space="0" w:color="auto"/>
                          </w:divBdr>
                          <w:divsChild>
                            <w:div w:id="1732003713">
                              <w:marLeft w:val="0"/>
                              <w:marRight w:val="0"/>
                              <w:marTop w:val="0"/>
                              <w:marBottom w:val="0"/>
                              <w:divBdr>
                                <w:top w:val="none" w:sz="0" w:space="0" w:color="auto"/>
                                <w:left w:val="none" w:sz="0" w:space="0" w:color="auto"/>
                                <w:bottom w:val="none" w:sz="0" w:space="0" w:color="auto"/>
                                <w:right w:val="none" w:sz="0" w:space="0" w:color="auto"/>
                              </w:divBdr>
                              <w:divsChild>
                                <w:div w:id="611134396">
                                  <w:marLeft w:val="0"/>
                                  <w:marRight w:val="0"/>
                                  <w:marTop w:val="0"/>
                                  <w:marBottom w:val="0"/>
                                  <w:divBdr>
                                    <w:top w:val="none" w:sz="0" w:space="0" w:color="auto"/>
                                    <w:left w:val="none" w:sz="0" w:space="0" w:color="auto"/>
                                    <w:bottom w:val="none" w:sz="0" w:space="0" w:color="auto"/>
                                    <w:right w:val="none" w:sz="0" w:space="0" w:color="auto"/>
                                  </w:divBdr>
                                  <w:divsChild>
                                    <w:div w:id="1565066278">
                                      <w:marLeft w:val="0"/>
                                      <w:marRight w:val="0"/>
                                      <w:marTop w:val="0"/>
                                      <w:marBottom w:val="0"/>
                                      <w:divBdr>
                                        <w:top w:val="none" w:sz="0" w:space="0" w:color="auto"/>
                                        <w:left w:val="none" w:sz="0" w:space="0" w:color="auto"/>
                                        <w:bottom w:val="none" w:sz="0" w:space="0" w:color="auto"/>
                                        <w:right w:val="none" w:sz="0" w:space="0" w:color="auto"/>
                                      </w:divBdr>
                                      <w:divsChild>
                                        <w:div w:id="2030795188">
                                          <w:marLeft w:val="0"/>
                                          <w:marRight w:val="0"/>
                                          <w:marTop w:val="0"/>
                                          <w:marBottom w:val="0"/>
                                          <w:divBdr>
                                            <w:top w:val="none" w:sz="0" w:space="0" w:color="auto"/>
                                            <w:left w:val="none" w:sz="0" w:space="0" w:color="auto"/>
                                            <w:bottom w:val="none" w:sz="0" w:space="0" w:color="auto"/>
                                            <w:right w:val="none" w:sz="0" w:space="0" w:color="auto"/>
                                          </w:divBdr>
                                          <w:divsChild>
                                            <w:div w:id="1108891424">
                                              <w:marLeft w:val="0"/>
                                              <w:marRight w:val="0"/>
                                              <w:marTop w:val="0"/>
                                              <w:marBottom w:val="0"/>
                                              <w:divBdr>
                                                <w:top w:val="none" w:sz="0" w:space="0" w:color="auto"/>
                                                <w:left w:val="none" w:sz="0" w:space="0" w:color="auto"/>
                                                <w:bottom w:val="none" w:sz="0" w:space="0" w:color="auto"/>
                                                <w:right w:val="none" w:sz="0" w:space="0" w:color="auto"/>
                                              </w:divBdr>
                                            </w:div>
                                          </w:divsChild>
                                        </w:div>
                                        <w:div w:id="1978101603">
                                          <w:marLeft w:val="0"/>
                                          <w:marRight w:val="0"/>
                                          <w:marTop w:val="0"/>
                                          <w:marBottom w:val="0"/>
                                          <w:divBdr>
                                            <w:top w:val="none" w:sz="0" w:space="0" w:color="auto"/>
                                            <w:left w:val="none" w:sz="0" w:space="0" w:color="auto"/>
                                            <w:bottom w:val="none" w:sz="0" w:space="0" w:color="auto"/>
                                            <w:right w:val="none" w:sz="0" w:space="0" w:color="auto"/>
                                          </w:divBdr>
                                          <w:divsChild>
                                            <w:div w:id="17034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312595">
          <w:marLeft w:val="0"/>
          <w:marRight w:val="0"/>
          <w:marTop w:val="0"/>
          <w:marBottom w:val="0"/>
          <w:divBdr>
            <w:top w:val="none" w:sz="0" w:space="0" w:color="auto"/>
            <w:left w:val="none" w:sz="0" w:space="0" w:color="auto"/>
            <w:bottom w:val="none" w:sz="0" w:space="0" w:color="auto"/>
            <w:right w:val="none" w:sz="0" w:space="0" w:color="auto"/>
          </w:divBdr>
          <w:divsChild>
            <w:div w:id="1725910551">
              <w:marLeft w:val="0"/>
              <w:marRight w:val="0"/>
              <w:marTop w:val="0"/>
              <w:marBottom w:val="0"/>
              <w:divBdr>
                <w:top w:val="none" w:sz="0" w:space="0" w:color="auto"/>
                <w:left w:val="none" w:sz="0" w:space="0" w:color="auto"/>
                <w:bottom w:val="none" w:sz="0" w:space="0" w:color="auto"/>
                <w:right w:val="none" w:sz="0" w:space="0" w:color="auto"/>
              </w:divBdr>
              <w:divsChild>
                <w:div w:id="124128548">
                  <w:marLeft w:val="0"/>
                  <w:marRight w:val="0"/>
                  <w:marTop w:val="0"/>
                  <w:marBottom w:val="0"/>
                  <w:divBdr>
                    <w:top w:val="none" w:sz="0" w:space="0" w:color="auto"/>
                    <w:left w:val="none" w:sz="0" w:space="0" w:color="auto"/>
                    <w:bottom w:val="none" w:sz="0" w:space="0" w:color="auto"/>
                    <w:right w:val="none" w:sz="0" w:space="0" w:color="auto"/>
                  </w:divBdr>
                </w:div>
                <w:div w:id="71003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57855">
          <w:marLeft w:val="0"/>
          <w:marRight w:val="0"/>
          <w:marTop w:val="0"/>
          <w:marBottom w:val="0"/>
          <w:divBdr>
            <w:top w:val="none" w:sz="0" w:space="0" w:color="auto"/>
            <w:left w:val="none" w:sz="0" w:space="0" w:color="auto"/>
            <w:bottom w:val="none" w:sz="0" w:space="0" w:color="auto"/>
            <w:right w:val="none" w:sz="0" w:space="0" w:color="auto"/>
          </w:divBdr>
          <w:divsChild>
            <w:div w:id="1345865085">
              <w:marLeft w:val="0"/>
              <w:marRight w:val="0"/>
              <w:marTop w:val="0"/>
              <w:marBottom w:val="0"/>
              <w:divBdr>
                <w:top w:val="none" w:sz="0" w:space="0" w:color="auto"/>
                <w:left w:val="none" w:sz="0" w:space="0" w:color="auto"/>
                <w:bottom w:val="none" w:sz="0" w:space="0" w:color="auto"/>
                <w:right w:val="none" w:sz="0" w:space="0" w:color="auto"/>
              </w:divBdr>
              <w:divsChild>
                <w:div w:id="138880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2706">
          <w:marLeft w:val="0"/>
          <w:marRight w:val="0"/>
          <w:marTop w:val="0"/>
          <w:marBottom w:val="0"/>
          <w:divBdr>
            <w:top w:val="none" w:sz="0" w:space="0" w:color="auto"/>
            <w:left w:val="none" w:sz="0" w:space="0" w:color="auto"/>
            <w:bottom w:val="none" w:sz="0" w:space="0" w:color="auto"/>
            <w:right w:val="none" w:sz="0" w:space="0" w:color="auto"/>
          </w:divBdr>
          <w:divsChild>
            <w:div w:id="1406873222">
              <w:marLeft w:val="0"/>
              <w:marRight w:val="0"/>
              <w:marTop w:val="0"/>
              <w:marBottom w:val="0"/>
              <w:divBdr>
                <w:top w:val="none" w:sz="0" w:space="0" w:color="auto"/>
                <w:left w:val="none" w:sz="0" w:space="0" w:color="auto"/>
                <w:bottom w:val="none" w:sz="0" w:space="0" w:color="auto"/>
                <w:right w:val="none" w:sz="0" w:space="0" w:color="auto"/>
              </w:divBdr>
              <w:divsChild>
                <w:div w:id="15715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419163">
      <w:bodyDiv w:val="1"/>
      <w:marLeft w:val="0"/>
      <w:marRight w:val="0"/>
      <w:marTop w:val="0"/>
      <w:marBottom w:val="0"/>
      <w:divBdr>
        <w:top w:val="none" w:sz="0" w:space="0" w:color="auto"/>
        <w:left w:val="none" w:sz="0" w:space="0" w:color="auto"/>
        <w:bottom w:val="none" w:sz="0" w:space="0" w:color="auto"/>
        <w:right w:val="none" w:sz="0" w:space="0" w:color="auto"/>
      </w:divBdr>
      <w:divsChild>
        <w:div w:id="1518883338">
          <w:marLeft w:val="0"/>
          <w:marRight w:val="0"/>
          <w:marTop w:val="0"/>
          <w:marBottom w:val="0"/>
          <w:divBdr>
            <w:top w:val="none" w:sz="0" w:space="0" w:color="auto"/>
            <w:left w:val="none" w:sz="0" w:space="0" w:color="auto"/>
            <w:bottom w:val="none" w:sz="0" w:space="0" w:color="auto"/>
            <w:right w:val="none" w:sz="0" w:space="0" w:color="auto"/>
          </w:divBdr>
        </w:div>
        <w:div w:id="1795176421">
          <w:marLeft w:val="0"/>
          <w:marRight w:val="0"/>
          <w:marTop w:val="0"/>
          <w:marBottom w:val="0"/>
          <w:divBdr>
            <w:top w:val="none" w:sz="0" w:space="0" w:color="auto"/>
            <w:left w:val="none" w:sz="0" w:space="0" w:color="auto"/>
            <w:bottom w:val="none" w:sz="0" w:space="0" w:color="auto"/>
            <w:right w:val="none" w:sz="0" w:space="0" w:color="auto"/>
          </w:divBdr>
        </w:div>
        <w:div w:id="1986928410">
          <w:marLeft w:val="0"/>
          <w:marRight w:val="0"/>
          <w:marTop w:val="0"/>
          <w:marBottom w:val="0"/>
          <w:divBdr>
            <w:top w:val="none" w:sz="0" w:space="0" w:color="auto"/>
            <w:left w:val="none" w:sz="0" w:space="0" w:color="auto"/>
            <w:bottom w:val="none" w:sz="0" w:space="0" w:color="auto"/>
            <w:right w:val="none" w:sz="0" w:space="0" w:color="auto"/>
          </w:divBdr>
        </w:div>
        <w:div w:id="1164197278">
          <w:marLeft w:val="0"/>
          <w:marRight w:val="0"/>
          <w:marTop w:val="0"/>
          <w:marBottom w:val="0"/>
          <w:divBdr>
            <w:top w:val="none" w:sz="0" w:space="0" w:color="auto"/>
            <w:left w:val="none" w:sz="0" w:space="0" w:color="auto"/>
            <w:bottom w:val="none" w:sz="0" w:space="0" w:color="auto"/>
            <w:right w:val="none" w:sz="0" w:space="0" w:color="auto"/>
          </w:divBdr>
        </w:div>
        <w:div w:id="1935240881">
          <w:marLeft w:val="0"/>
          <w:marRight w:val="0"/>
          <w:marTop w:val="0"/>
          <w:marBottom w:val="0"/>
          <w:divBdr>
            <w:top w:val="none" w:sz="0" w:space="0" w:color="auto"/>
            <w:left w:val="none" w:sz="0" w:space="0" w:color="auto"/>
            <w:bottom w:val="none" w:sz="0" w:space="0" w:color="auto"/>
            <w:right w:val="none" w:sz="0" w:space="0" w:color="auto"/>
          </w:divBdr>
        </w:div>
        <w:div w:id="768699126">
          <w:marLeft w:val="0"/>
          <w:marRight w:val="0"/>
          <w:marTop w:val="0"/>
          <w:marBottom w:val="0"/>
          <w:divBdr>
            <w:top w:val="none" w:sz="0" w:space="0" w:color="auto"/>
            <w:left w:val="none" w:sz="0" w:space="0" w:color="auto"/>
            <w:bottom w:val="none" w:sz="0" w:space="0" w:color="auto"/>
            <w:right w:val="none" w:sz="0" w:space="0" w:color="auto"/>
          </w:divBdr>
        </w:div>
        <w:div w:id="389042556">
          <w:marLeft w:val="0"/>
          <w:marRight w:val="0"/>
          <w:marTop w:val="0"/>
          <w:marBottom w:val="0"/>
          <w:divBdr>
            <w:top w:val="none" w:sz="0" w:space="0" w:color="auto"/>
            <w:left w:val="none" w:sz="0" w:space="0" w:color="auto"/>
            <w:bottom w:val="none" w:sz="0" w:space="0" w:color="auto"/>
            <w:right w:val="none" w:sz="0" w:space="0" w:color="auto"/>
          </w:divBdr>
        </w:div>
        <w:div w:id="419642103">
          <w:marLeft w:val="0"/>
          <w:marRight w:val="0"/>
          <w:marTop w:val="0"/>
          <w:marBottom w:val="0"/>
          <w:divBdr>
            <w:top w:val="none" w:sz="0" w:space="0" w:color="auto"/>
            <w:left w:val="none" w:sz="0" w:space="0" w:color="auto"/>
            <w:bottom w:val="none" w:sz="0" w:space="0" w:color="auto"/>
            <w:right w:val="none" w:sz="0" w:space="0" w:color="auto"/>
          </w:divBdr>
        </w:div>
      </w:divsChild>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580527619">
      <w:bodyDiv w:val="1"/>
      <w:marLeft w:val="0"/>
      <w:marRight w:val="0"/>
      <w:marTop w:val="0"/>
      <w:marBottom w:val="0"/>
      <w:divBdr>
        <w:top w:val="none" w:sz="0" w:space="0" w:color="auto"/>
        <w:left w:val="none" w:sz="0" w:space="0" w:color="auto"/>
        <w:bottom w:val="none" w:sz="0" w:space="0" w:color="auto"/>
        <w:right w:val="none" w:sz="0" w:space="0" w:color="auto"/>
      </w:divBdr>
    </w:div>
    <w:div w:id="591469582">
      <w:bodyDiv w:val="1"/>
      <w:marLeft w:val="0"/>
      <w:marRight w:val="0"/>
      <w:marTop w:val="0"/>
      <w:marBottom w:val="0"/>
      <w:divBdr>
        <w:top w:val="none" w:sz="0" w:space="0" w:color="auto"/>
        <w:left w:val="none" w:sz="0" w:space="0" w:color="auto"/>
        <w:bottom w:val="none" w:sz="0" w:space="0" w:color="auto"/>
        <w:right w:val="none" w:sz="0" w:space="0" w:color="auto"/>
      </w:divBdr>
    </w:div>
    <w:div w:id="607003050">
      <w:bodyDiv w:val="1"/>
      <w:marLeft w:val="0"/>
      <w:marRight w:val="0"/>
      <w:marTop w:val="0"/>
      <w:marBottom w:val="0"/>
      <w:divBdr>
        <w:top w:val="none" w:sz="0" w:space="0" w:color="auto"/>
        <w:left w:val="none" w:sz="0" w:space="0" w:color="auto"/>
        <w:bottom w:val="none" w:sz="0" w:space="0" w:color="auto"/>
        <w:right w:val="none" w:sz="0" w:space="0" w:color="auto"/>
      </w:divBdr>
      <w:divsChild>
        <w:div w:id="2141921654">
          <w:marLeft w:val="0"/>
          <w:marRight w:val="0"/>
          <w:marTop w:val="0"/>
          <w:marBottom w:val="0"/>
          <w:divBdr>
            <w:top w:val="none" w:sz="0" w:space="0" w:color="auto"/>
            <w:left w:val="none" w:sz="0" w:space="0" w:color="auto"/>
            <w:bottom w:val="none" w:sz="0" w:space="0" w:color="auto"/>
            <w:right w:val="none" w:sz="0" w:space="0" w:color="auto"/>
          </w:divBdr>
        </w:div>
        <w:div w:id="1135491721">
          <w:marLeft w:val="0"/>
          <w:marRight w:val="0"/>
          <w:marTop w:val="0"/>
          <w:marBottom w:val="0"/>
          <w:divBdr>
            <w:top w:val="none" w:sz="0" w:space="0" w:color="auto"/>
            <w:left w:val="none" w:sz="0" w:space="0" w:color="auto"/>
            <w:bottom w:val="none" w:sz="0" w:space="0" w:color="auto"/>
            <w:right w:val="none" w:sz="0" w:space="0" w:color="auto"/>
          </w:divBdr>
        </w:div>
      </w:divsChild>
    </w:div>
    <w:div w:id="608585398">
      <w:bodyDiv w:val="1"/>
      <w:marLeft w:val="0"/>
      <w:marRight w:val="0"/>
      <w:marTop w:val="0"/>
      <w:marBottom w:val="0"/>
      <w:divBdr>
        <w:top w:val="none" w:sz="0" w:space="0" w:color="auto"/>
        <w:left w:val="none" w:sz="0" w:space="0" w:color="auto"/>
        <w:bottom w:val="none" w:sz="0" w:space="0" w:color="auto"/>
        <w:right w:val="none" w:sz="0" w:space="0" w:color="auto"/>
      </w:divBdr>
      <w:divsChild>
        <w:div w:id="1328822154">
          <w:marLeft w:val="0"/>
          <w:marRight w:val="0"/>
          <w:marTop w:val="0"/>
          <w:marBottom w:val="0"/>
          <w:divBdr>
            <w:top w:val="none" w:sz="0" w:space="0" w:color="auto"/>
            <w:left w:val="none" w:sz="0" w:space="0" w:color="auto"/>
            <w:bottom w:val="none" w:sz="0" w:space="0" w:color="auto"/>
            <w:right w:val="none" w:sz="0" w:space="0" w:color="auto"/>
          </w:divBdr>
        </w:div>
        <w:div w:id="916936628">
          <w:marLeft w:val="0"/>
          <w:marRight w:val="0"/>
          <w:marTop w:val="0"/>
          <w:marBottom w:val="0"/>
          <w:divBdr>
            <w:top w:val="none" w:sz="0" w:space="0" w:color="auto"/>
            <w:left w:val="none" w:sz="0" w:space="0" w:color="auto"/>
            <w:bottom w:val="none" w:sz="0" w:space="0" w:color="auto"/>
            <w:right w:val="none" w:sz="0" w:space="0" w:color="auto"/>
          </w:divBdr>
        </w:div>
        <w:div w:id="1202355709">
          <w:marLeft w:val="0"/>
          <w:marRight w:val="0"/>
          <w:marTop w:val="0"/>
          <w:marBottom w:val="0"/>
          <w:divBdr>
            <w:top w:val="none" w:sz="0" w:space="0" w:color="auto"/>
            <w:left w:val="none" w:sz="0" w:space="0" w:color="auto"/>
            <w:bottom w:val="none" w:sz="0" w:space="0" w:color="auto"/>
            <w:right w:val="none" w:sz="0" w:space="0" w:color="auto"/>
          </w:divBdr>
        </w:div>
        <w:div w:id="2075200760">
          <w:marLeft w:val="0"/>
          <w:marRight w:val="0"/>
          <w:marTop w:val="0"/>
          <w:marBottom w:val="0"/>
          <w:divBdr>
            <w:top w:val="none" w:sz="0" w:space="0" w:color="auto"/>
            <w:left w:val="none" w:sz="0" w:space="0" w:color="auto"/>
            <w:bottom w:val="none" w:sz="0" w:space="0" w:color="auto"/>
            <w:right w:val="none" w:sz="0" w:space="0" w:color="auto"/>
          </w:divBdr>
        </w:div>
        <w:div w:id="403181726">
          <w:marLeft w:val="0"/>
          <w:marRight w:val="0"/>
          <w:marTop w:val="0"/>
          <w:marBottom w:val="0"/>
          <w:divBdr>
            <w:top w:val="none" w:sz="0" w:space="0" w:color="auto"/>
            <w:left w:val="none" w:sz="0" w:space="0" w:color="auto"/>
            <w:bottom w:val="none" w:sz="0" w:space="0" w:color="auto"/>
            <w:right w:val="none" w:sz="0" w:space="0" w:color="auto"/>
          </w:divBdr>
        </w:div>
        <w:div w:id="172303071">
          <w:marLeft w:val="0"/>
          <w:marRight w:val="0"/>
          <w:marTop w:val="0"/>
          <w:marBottom w:val="0"/>
          <w:divBdr>
            <w:top w:val="none" w:sz="0" w:space="0" w:color="auto"/>
            <w:left w:val="none" w:sz="0" w:space="0" w:color="auto"/>
            <w:bottom w:val="none" w:sz="0" w:space="0" w:color="auto"/>
            <w:right w:val="none" w:sz="0" w:space="0" w:color="auto"/>
          </w:divBdr>
        </w:div>
        <w:div w:id="1490707394">
          <w:marLeft w:val="0"/>
          <w:marRight w:val="0"/>
          <w:marTop w:val="0"/>
          <w:marBottom w:val="0"/>
          <w:divBdr>
            <w:top w:val="none" w:sz="0" w:space="0" w:color="auto"/>
            <w:left w:val="none" w:sz="0" w:space="0" w:color="auto"/>
            <w:bottom w:val="none" w:sz="0" w:space="0" w:color="auto"/>
            <w:right w:val="none" w:sz="0" w:space="0" w:color="auto"/>
          </w:divBdr>
        </w:div>
        <w:div w:id="846097493">
          <w:marLeft w:val="0"/>
          <w:marRight w:val="0"/>
          <w:marTop w:val="0"/>
          <w:marBottom w:val="0"/>
          <w:divBdr>
            <w:top w:val="none" w:sz="0" w:space="0" w:color="auto"/>
            <w:left w:val="none" w:sz="0" w:space="0" w:color="auto"/>
            <w:bottom w:val="none" w:sz="0" w:space="0" w:color="auto"/>
            <w:right w:val="none" w:sz="0" w:space="0" w:color="auto"/>
          </w:divBdr>
        </w:div>
        <w:div w:id="235626312">
          <w:marLeft w:val="0"/>
          <w:marRight w:val="0"/>
          <w:marTop w:val="0"/>
          <w:marBottom w:val="0"/>
          <w:divBdr>
            <w:top w:val="none" w:sz="0" w:space="0" w:color="auto"/>
            <w:left w:val="none" w:sz="0" w:space="0" w:color="auto"/>
            <w:bottom w:val="none" w:sz="0" w:space="0" w:color="auto"/>
            <w:right w:val="none" w:sz="0" w:space="0" w:color="auto"/>
          </w:divBdr>
        </w:div>
        <w:div w:id="1791779552">
          <w:marLeft w:val="0"/>
          <w:marRight w:val="0"/>
          <w:marTop w:val="0"/>
          <w:marBottom w:val="0"/>
          <w:divBdr>
            <w:top w:val="none" w:sz="0" w:space="0" w:color="auto"/>
            <w:left w:val="none" w:sz="0" w:space="0" w:color="auto"/>
            <w:bottom w:val="none" w:sz="0" w:space="0" w:color="auto"/>
            <w:right w:val="none" w:sz="0" w:space="0" w:color="auto"/>
          </w:divBdr>
        </w:div>
        <w:div w:id="1069697171">
          <w:marLeft w:val="0"/>
          <w:marRight w:val="0"/>
          <w:marTop w:val="0"/>
          <w:marBottom w:val="0"/>
          <w:divBdr>
            <w:top w:val="none" w:sz="0" w:space="0" w:color="auto"/>
            <w:left w:val="none" w:sz="0" w:space="0" w:color="auto"/>
            <w:bottom w:val="none" w:sz="0" w:space="0" w:color="auto"/>
            <w:right w:val="none" w:sz="0" w:space="0" w:color="auto"/>
          </w:divBdr>
        </w:div>
        <w:div w:id="1162357636">
          <w:marLeft w:val="0"/>
          <w:marRight w:val="0"/>
          <w:marTop w:val="0"/>
          <w:marBottom w:val="0"/>
          <w:divBdr>
            <w:top w:val="none" w:sz="0" w:space="0" w:color="auto"/>
            <w:left w:val="none" w:sz="0" w:space="0" w:color="auto"/>
            <w:bottom w:val="none" w:sz="0" w:space="0" w:color="auto"/>
            <w:right w:val="none" w:sz="0" w:space="0" w:color="auto"/>
          </w:divBdr>
        </w:div>
        <w:div w:id="1976597627">
          <w:marLeft w:val="0"/>
          <w:marRight w:val="0"/>
          <w:marTop w:val="0"/>
          <w:marBottom w:val="0"/>
          <w:divBdr>
            <w:top w:val="none" w:sz="0" w:space="0" w:color="auto"/>
            <w:left w:val="none" w:sz="0" w:space="0" w:color="auto"/>
            <w:bottom w:val="none" w:sz="0" w:space="0" w:color="auto"/>
            <w:right w:val="none" w:sz="0" w:space="0" w:color="auto"/>
          </w:divBdr>
        </w:div>
        <w:div w:id="406922244">
          <w:marLeft w:val="0"/>
          <w:marRight w:val="0"/>
          <w:marTop w:val="0"/>
          <w:marBottom w:val="0"/>
          <w:divBdr>
            <w:top w:val="none" w:sz="0" w:space="0" w:color="auto"/>
            <w:left w:val="none" w:sz="0" w:space="0" w:color="auto"/>
            <w:bottom w:val="none" w:sz="0" w:space="0" w:color="auto"/>
            <w:right w:val="none" w:sz="0" w:space="0" w:color="auto"/>
          </w:divBdr>
        </w:div>
        <w:div w:id="1200628628">
          <w:marLeft w:val="0"/>
          <w:marRight w:val="0"/>
          <w:marTop w:val="0"/>
          <w:marBottom w:val="0"/>
          <w:divBdr>
            <w:top w:val="none" w:sz="0" w:space="0" w:color="auto"/>
            <w:left w:val="none" w:sz="0" w:space="0" w:color="auto"/>
            <w:bottom w:val="none" w:sz="0" w:space="0" w:color="auto"/>
            <w:right w:val="none" w:sz="0" w:space="0" w:color="auto"/>
          </w:divBdr>
        </w:div>
        <w:div w:id="1725061963">
          <w:marLeft w:val="0"/>
          <w:marRight w:val="0"/>
          <w:marTop w:val="0"/>
          <w:marBottom w:val="0"/>
          <w:divBdr>
            <w:top w:val="none" w:sz="0" w:space="0" w:color="auto"/>
            <w:left w:val="none" w:sz="0" w:space="0" w:color="auto"/>
            <w:bottom w:val="none" w:sz="0" w:space="0" w:color="auto"/>
            <w:right w:val="none" w:sz="0" w:space="0" w:color="auto"/>
          </w:divBdr>
        </w:div>
        <w:div w:id="1748766474">
          <w:marLeft w:val="0"/>
          <w:marRight w:val="0"/>
          <w:marTop w:val="0"/>
          <w:marBottom w:val="0"/>
          <w:divBdr>
            <w:top w:val="none" w:sz="0" w:space="0" w:color="auto"/>
            <w:left w:val="none" w:sz="0" w:space="0" w:color="auto"/>
            <w:bottom w:val="none" w:sz="0" w:space="0" w:color="auto"/>
            <w:right w:val="none" w:sz="0" w:space="0" w:color="auto"/>
          </w:divBdr>
        </w:div>
        <w:div w:id="2004308072">
          <w:marLeft w:val="0"/>
          <w:marRight w:val="0"/>
          <w:marTop w:val="0"/>
          <w:marBottom w:val="0"/>
          <w:divBdr>
            <w:top w:val="none" w:sz="0" w:space="0" w:color="auto"/>
            <w:left w:val="none" w:sz="0" w:space="0" w:color="auto"/>
            <w:bottom w:val="none" w:sz="0" w:space="0" w:color="auto"/>
            <w:right w:val="none" w:sz="0" w:space="0" w:color="auto"/>
          </w:divBdr>
        </w:div>
        <w:div w:id="1267156455">
          <w:marLeft w:val="0"/>
          <w:marRight w:val="0"/>
          <w:marTop w:val="0"/>
          <w:marBottom w:val="0"/>
          <w:divBdr>
            <w:top w:val="none" w:sz="0" w:space="0" w:color="auto"/>
            <w:left w:val="none" w:sz="0" w:space="0" w:color="auto"/>
            <w:bottom w:val="none" w:sz="0" w:space="0" w:color="auto"/>
            <w:right w:val="none" w:sz="0" w:space="0" w:color="auto"/>
          </w:divBdr>
        </w:div>
        <w:div w:id="1332177614">
          <w:marLeft w:val="0"/>
          <w:marRight w:val="0"/>
          <w:marTop w:val="0"/>
          <w:marBottom w:val="0"/>
          <w:divBdr>
            <w:top w:val="none" w:sz="0" w:space="0" w:color="auto"/>
            <w:left w:val="none" w:sz="0" w:space="0" w:color="auto"/>
            <w:bottom w:val="none" w:sz="0" w:space="0" w:color="auto"/>
            <w:right w:val="none" w:sz="0" w:space="0" w:color="auto"/>
          </w:divBdr>
        </w:div>
        <w:div w:id="2055038903">
          <w:marLeft w:val="0"/>
          <w:marRight w:val="0"/>
          <w:marTop w:val="0"/>
          <w:marBottom w:val="0"/>
          <w:divBdr>
            <w:top w:val="none" w:sz="0" w:space="0" w:color="auto"/>
            <w:left w:val="none" w:sz="0" w:space="0" w:color="auto"/>
            <w:bottom w:val="none" w:sz="0" w:space="0" w:color="auto"/>
            <w:right w:val="none" w:sz="0" w:space="0" w:color="auto"/>
          </w:divBdr>
        </w:div>
        <w:div w:id="207499277">
          <w:marLeft w:val="0"/>
          <w:marRight w:val="0"/>
          <w:marTop w:val="0"/>
          <w:marBottom w:val="0"/>
          <w:divBdr>
            <w:top w:val="none" w:sz="0" w:space="0" w:color="auto"/>
            <w:left w:val="none" w:sz="0" w:space="0" w:color="auto"/>
            <w:bottom w:val="none" w:sz="0" w:space="0" w:color="auto"/>
            <w:right w:val="none" w:sz="0" w:space="0" w:color="auto"/>
          </w:divBdr>
        </w:div>
        <w:div w:id="163322502">
          <w:marLeft w:val="0"/>
          <w:marRight w:val="0"/>
          <w:marTop w:val="0"/>
          <w:marBottom w:val="0"/>
          <w:divBdr>
            <w:top w:val="none" w:sz="0" w:space="0" w:color="auto"/>
            <w:left w:val="none" w:sz="0" w:space="0" w:color="auto"/>
            <w:bottom w:val="none" w:sz="0" w:space="0" w:color="auto"/>
            <w:right w:val="none" w:sz="0" w:space="0" w:color="auto"/>
          </w:divBdr>
        </w:div>
        <w:div w:id="390468349">
          <w:marLeft w:val="0"/>
          <w:marRight w:val="0"/>
          <w:marTop w:val="0"/>
          <w:marBottom w:val="0"/>
          <w:divBdr>
            <w:top w:val="none" w:sz="0" w:space="0" w:color="auto"/>
            <w:left w:val="none" w:sz="0" w:space="0" w:color="auto"/>
            <w:bottom w:val="none" w:sz="0" w:space="0" w:color="auto"/>
            <w:right w:val="none" w:sz="0" w:space="0" w:color="auto"/>
          </w:divBdr>
        </w:div>
        <w:div w:id="1873837715">
          <w:marLeft w:val="0"/>
          <w:marRight w:val="0"/>
          <w:marTop w:val="0"/>
          <w:marBottom w:val="0"/>
          <w:divBdr>
            <w:top w:val="none" w:sz="0" w:space="0" w:color="auto"/>
            <w:left w:val="none" w:sz="0" w:space="0" w:color="auto"/>
            <w:bottom w:val="none" w:sz="0" w:space="0" w:color="auto"/>
            <w:right w:val="none" w:sz="0" w:space="0" w:color="auto"/>
          </w:divBdr>
        </w:div>
        <w:div w:id="1749425295">
          <w:marLeft w:val="0"/>
          <w:marRight w:val="0"/>
          <w:marTop w:val="0"/>
          <w:marBottom w:val="0"/>
          <w:divBdr>
            <w:top w:val="none" w:sz="0" w:space="0" w:color="auto"/>
            <w:left w:val="none" w:sz="0" w:space="0" w:color="auto"/>
            <w:bottom w:val="none" w:sz="0" w:space="0" w:color="auto"/>
            <w:right w:val="none" w:sz="0" w:space="0" w:color="auto"/>
          </w:divBdr>
        </w:div>
        <w:div w:id="442575250">
          <w:marLeft w:val="0"/>
          <w:marRight w:val="0"/>
          <w:marTop w:val="0"/>
          <w:marBottom w:val="0"/>
          <w:divBdr>
            <w:top w:val="none" w:sz="0" w:space="0" w:color="auto"/>
            <w:left w:val="none" w:sz="0" w:space="0" w:color="auto"/>
            <w:bottom w:val="none" w:sz="0" w:space="0" w:color="auto"/>
            <w:right w:val="none" w:sz="0" w:space="0" w:color="auto"/>
          </w:divBdr>
        </w:div>
        <w:div w:id="1325431473">
          <w:marLeft w:val="0"/>
          <w:marRight w:val="0"/>
          <w:marTop w:val="0"/>
          <w:marBottom w:val="0"/>
          <w:divBdr>
            <w:top w:val="none" w:sz="0" w:space="0" w:color="auto"/>
            <w:left w:val="none" w:sz="0" w:space="0" w:color="auto"/>
            <w:bottom w:val="none" w:sz="0" w:space="0" w:color="auto"/>
            <w:right w:val="none" w:sz="0" w:space="0" w:color="auto"/>
          </w:divBdr>
        </w:div>
        <w:div w:id="150567052">
          <w:marLeft w:val="0"/>
          <w:marRight w:val="0"/>
          <w:marTop w:val="0"/>
          <w:marBottom w:val="0"/>
          <w:divBdr>
            <w:top w:val="none" w:sz="0" w:space="0" w:color="auto"/>
            <w:left w:val="none" w:sz="0" w:space="0" w:color="auto"/>
            <w:bottom w:val="none" w:sz="0" w:space="0" w:color="auto"/>
            <w:right w:val="none" w:sz="0" w:space="0" w:color="auto"/>
          </w:divBdr>
        </w:div>
        <w:div w:id="891190658">
          <w:marLeft w:val="0"/>
          <w:marRight w:val="0"/>
          <w:marTop w:val="0"/>
          <w:marBottom w:val="0"/>
          <w:divBdr>
            <w:top w:val="none" w:sz="0" w:space="0" w:color="auto"/>
            <w:left w:val="none" w:sz="0" w:space="0" w:color="auto"/>
            <w:bottom w:val="none" w:sz="0" w:space="0" w:color="auto"/>
            <w:right w:val="none" w:sz="0" w:space="0" w:color="auto"/>
          </w:divBdr>
        </w:div>
        <w:div w:id="452672736">
          <w:marLeft w:val="0"/>
          <w:marRight w:val="0"/>
          <w:marTop w:val="0"/>
          <w:marBottom w:val="0"/>
          <w:divBdr>
            <w:top w:val="none" w:sz="0" w:space="0" w:color="auto"/>
            <w:left w:val="none" w:sz="0" w:space="0" w:color="auto"/>
            <w:bottom w:val="none" w:sz="0" w:space="0" w:color="auto"/>
            <w:right w:val="none" w:sz="0" w:space="0" w:color="auto"/>
          </w:divBdr>
        </w:div>
        <w:div w:id="1789351149">
          <w:marLeft w:val="0"/>
          <w:marRight w:val="0"/>
          <w:marTop w:val="0"/>
          <w:marBottom w:val="0"/>
          <w:divBdr>
            <w:top w:val="none" w:sz="0" w:space="0" w:color="auto"/>
            <w:left w:val="none" w:sz="0" w:space="0" w:color="auto"/>
            <w:bottom w:val="none" w:sz="0" w:space="0" w:color="auto"/>
            <w:right w:val="none" w:sz="0" w:space="0" w:color="auto"/>
          </w:divBdr>
        </w:div>
        <w:div w:id="836458946">
          <w:marLeft w:val="0"/>
          <w:marRight w:val="0"/>
          <w:marTop w:val="0"/>
          <w:marBottom w:val="0"/>
          <w:divBdr>
            <w:top w:val="none" w:sz="0" w:space="0" w:color="auto"/>
            <w:left w:val="none" w:sz="0" w:space="0" w:color="auto"/>
            <w:bottom w:val="none" w:sz="0" w:space="0" w:color="auto"/>
            <w:right w:val="none" w:sz="0" w:space="0" w:color="auto"/>
          </w:divBdr>
        </w:div>
        <w:div w:id="472986285">
          <w:marLeft w:val="0"/>
          <w:marRight w:val="0"/>
          <w:marTop w:val="0"/>
          <w:marBottom w:val="0"/>
          <w:divBdr>
            <w:top w:val="none" w:sz="0" w:space="0" w:color="auto"/>
            <w:left w:val="none" w:sz="0" w:space="0" w:color="auto"/>
            <w:bottom w:val="none" w:sz="0" w:space="0" w:color="auto"/>
            <w:right w:val="none" w:sz="0" w:space="0" w:color="auto"/>
          </w:divBdr>
        </w:div>
        <w:div w:id="551888680">
          <w:marLeft w:val="0"/>
          <w:marRight w:val="0"/>
          <w:marTop w:val="0"/>
          <w:marBottom w:val="0"/>
          <w:divBdr>
            <w:top w:val="none" w:sz="0" w:space="0" w:color="auto"/>
            <w:left w:val="none" w:sz="0" w:space="0" w:color="auto"/>
            <w:bottom w:val="none" w:sz="0" w:space="0" w:color="auto"/>
            <w:right w:val="none" w:sz="0" w:space="0" w:color="auto"/>
          </w:divBdr>
        </w:div>
        <w:div w:id="1172837530">
          <w:marLeft w:val="0"/>
          <w:marRight w:val="0"/>
          <w:marTop w:val="0"/>
          <w:marBottom w:val="0"/>
          <w:divBdr>
            <w:top w:val="none" w:sz="0" w:space="0" w:color="auto"/>
            <w:left w:val="none" w:sz="0" w:space="0" w:color="auto"/>
            <w:bottom w:val="none" w:sz="0" w:space="0" w:color="auto"/>
            <w:right w:val="none" w:sz="0" w:space="0" w:color="auto"/>
          </w:divBdr>
        </w:div>
        <w:div w:id="1925214577">
          <w:marLeft w:val="0"/>
          <w:marRight w:val="0"/>
          <w:marTop w:val="0"/>
          <w:marBottom w:val="0"/>
          <w:divBdr>
            <w:top w:val="none" w:sz="0" w:space="0" w:color="auto"/>
            <w:left w:val="none" w:sz="0" w:space="0" w:color="auto"/>
            <w:bottom w:val="none" w:sz="0" w:space="0" w:color="auto"/>
            <w:right w:val="none" w:sz="0" w:space="0" w:color="auto"/>
          </w:divBdr>
        </w:div>
        <w:div w:id="700983238">
          <w:marLeft w:val="0"/>
          <w:marRight w:val="0"/>
          <w:marTop w:val="0"/>
          <w:marBottom w:val="0"/>
          <w:divBdr>
            <w:top w:val="none" w:sz="0" w:space="0" w:color="auto"/>
            <w:left w:val="none" w:sz="0" w:space="0" w:color="auto"/>
            <w:bottom w:val="none" w:sz="0" w:space="0" w:color="auto"/>
            <w:right w:val="none" w:sz="0" w:space="0" w:color="auto"/>
          </w:divBdr>
        </w:div>
        <w:div w:id="2096244842">
          <w:marLeft w:val="0"/>
          <w:marRight w:val="0"/>
          <w:marTop w:val="0"/>
          <w:marBottom w:val="0"/>
          <w:divBdr>
            <w:top w:val="none" w:sz="0" w:space="0" w:color="auto"/>
            <w:left w:val="none" w:sz="0" w:space="0" w:color="auto"/>
            <w:bottom w:val="none" w:sz="0" w:space="0" w:color="auto"/>
            <w:right w:val="none" w:sz="0" w:space="0" w:color="auto"/>
          </w:divBdr>
        </w:div>
        <w:div w:id="1986082949">
          <w:marLeft w:val="0"/>
          <w:marRight w:val="0"/>
          <w:marTop w:val="0"/>
          <w:marBottom w:val="0"/>
          <w:divBdr>
            <w:top w:val="none" w:sz="0" w:space="0" w:color="auto"/>
            <w:left w:val="none" w:sz="0" w:space="0" w:color="auto"/>
            <w:bottom w:val="none" w:sz="0" w:space="0" w:color="auto"/>
            <w:right w:val="none" w:sz="0" w:space="0" w:color="auto"/>
          </w:divBdr>
        </w:div>
        <w:div w:id="1402365775">
          <w:marLeft w:val="0"/>
          <w:marRight w:val="0"/>
          <w:marTop w:val="0"/>
          <w:marBottom w:val="0"/>
          <w:divBdr>
            <w:top w:val="none" w:sz="0" w:space="0" w:color="auto"/>
            <w:left w:val="none" w:sz="0" w:space="0" w:color="auto"/>
            <w:bottom w:val="none" w:sz="0" w:space="0" w:color="auto"/>
            <w:right w:val="none" w:sz="0" w:space="0" w:color="auto"/>
          </w:divBdr>
        </w:div>
        <w:div w:id="1556234611">
          <w:marLeft w:val="0"/>
          <w:marRight w:val="0"/>
          <w:marTop w:val="0"/>
          <w:marBottom w:val="0"/>
          <w:divBdr>
            <w:top w:val="none" w:sz="0" w:space="0" w:color="auto"/>
            <w:left w:val="none" w:sz="0" w:space="0" w:color="auto"/>
            <w:bottom w:val="none" w:sz="0" w:space="0" w:color="auto"/>
            <w:right w:val="none" w:sz="0" w:space="0" w:color="auto"/>
          </w:divBdr>
        </w:div>
        <w:div w:id="2017070848">
          <w:marLeft w:val="0"/>
          <w:marRight w:val="0"/>
          <w:marTop w:val="0"/>
          <w:marBottom w:val="0"/>
          <w:divBdr>
            <w:top w:val="none" w:sz="0" w:space="0" w:color="auto"/>
            <w:left w:val="none" w:sz="0" w:space="0" w:color="auto"/>
            <w:bottom w:val="none" w:sz="0" w:space="0" w:color="auto"/>
            <w:right w:val="none" w:sz="0" w:space="0" w:color="auto"/>
          </w:divBdr>
        </w:div>
        <w:div w:id="51009382">
          <w:marLeft w:val="0"/>
          <w:marRight w:val="0"/>
          <w:marTop w:val="0"/>
          <w:marBottom w:val="0"/>
          <w:divBdr>
            <w:top w:val="none" w:sz="0" w:space="0" w:color="auto"/>
            <w:left w:val="none" w:sz="0" w:space="0" w:color="auto"/>
            <w:bottom w:val="none" w:sz="0" w:space="0" w:color="auto"/>
            <w:right w:val="none" w:sz="0" w:space="0" w:color="auto"/>
          </w:divBdr>
        </w:div>
        <w:div w:id="304704590">
          <w:marLeft w:val="0"/>
          <w:marRight w:val="0"/>
          <w:marTop w:val="0"/>
          <w:marBottom w:val="0"/>
          <w:divBdr>
            <w:top w:val="none" w:sz="0" w:space="0" w:color="auto"/>
            <w:left w:val="none" w:sz="0" w:space="0" w:color="auto"/>
            <w:bottom w:val="none" w:sz="0" w:space="0" w:color="auto"/>
            <w:right w:val="none" w:sz="0" w:space="0" w:color="auto"/>
          </w:divBdr>
        </w:div>
        <w:div w:id="446779332">
          <w:marLeft w:val="0"/>
          <w:marRight w:val="0"/>
          <w:marTop w:val="0"/>
          <w:marBottom w:val="0"/>
          <w:divBdr>
            <w:top w:val="none" w:sz="0" w:space="0" w:color="auto"/>
            <w:left w:val="none" w:sz="0" w:space="0" w:color="auto"/>
            <w:bottom w:val="none" w:sz="0" w:space="0" w:color="auto"/>
            <w:right w:val="none" w:sz="0" w:space="0" w:color="auto"/>
          </w:divBdr>
        </w:div>
        <w:div w:id="1045986819">
          <w:marLeft w:val="0"/>
          <w:marRight w:val="0"/>
          <w:marTop w:val="0"/>
          <w:marBottom w:val="0"/>
          <w:divBdr>
            <w:top w:val="none" w:sz="0" w:space="0" w:color="auto"/>
            <w:left w:val="none" w:sz="0" w:space="0" w:color="auto"/>
            <w:bottom w:val="none" w:sz="0" w:space="0" w:color="auto"/>
            <w:right w:val="none" w:sz="0" w:space="0" w:color="auto"/>
          </w:divBdr>
        </w:div>
        <w:div w:id="1723166638">
          <w:marLeft w:val="0"/>
          <w:marRight w:val="0"/>
          <w:marTop w:val="0"/>
          <w:marBottom w:val="0"/>
          <w:divBdr>
            <w:top w:val="none" w:sz="0" w:space="0" w:color="auto"/>
            <w:left w:val="none" w:sz="0" w:space="0" w:color="auto"/>
            <w:bottom w:val="none" w:sz="0" w:space="0" w:color="auto"/>
            <w:right w:val="none" w:sz="0" w:space="0" w:color="auto"/>
          </w:divBdr>
        </w:div>
        <w:div w:id="74668235">
          <w:marLeft w:val="0"/>
          <w:marRight w:val="0"/>
          <w:marTop w:val="0"/>
          <w:marBottom w:val="0"/>
          <w:divBdr>
            <w:top w:val="none" w:sz="0" w:space="0" w:color="auto"/>
            <w:left w:val="none" w:sz="0" w:space="0" w:color="auto"/>
            <w:bottom w:val="none" w:sz="0" w:space="0" w:color="auto"/>
            <w:right w:val="none" w:sz="0" w:space="0" w:color="auto"/>
          </w:divBdr>
        </w:div>
        <w:div w:id="107237976">
          <w:marLeft w:val="0"/>
          <w:marRight w:val="0"/>
          <w:marTop w:val="0"/>
          <w:marBottom w:val="0"/>
          <w:divBdr>
            <w:top w:val="none" w:sz="0" w:space="0" w:color="auto"/>
            <w:left w:val="none" w:sz="0" w:space="0" w:color="auto"/>
            <w:bottom w:val="none" w:sz="0" w:space="0" w:color="auto"/>
            <w:right w:val="none" w:sz="0" w:space="0" w:color="auto"/>
          </w:divBdr>
        </w:div>
        <w:div w:id="236596568">
          <w:marLeft w:val="0"/>
          <w:marRight w:val="0"/>
          <w:marTop w:val="0"/>
          <w:marBottom w:val="0"/>
          <w:divBdr>
            <w:top w:val="none" w:sz="0" w:space="0" w:color="auto"/>
            <w:left w:val="none" w:sz="0" w:space="0" w:color="auto"/>
            <w:bottom w:val="none" w:sz="0" w:space="0" w:color="auto"/>
            <w:right w:val="none" w:sz="0" w:space="0" w:color="auto"/>
          </w:divBdr>
        </w:div>
        <w:div w:id="731466528">
          <w:marLeft w:val="0"/>
          <w:marRight w:val="0"/>
          <w:marTop w:val="0"/>
          <w:marBottom w:val="0"/>
          <w:divBdr>
            <w:top w:val="none" w:sz="0" w:space="0" w:color="auto"/>
            <w:left w:val="none" w:sz="0" w:space="0" w:color="auto"/>
            <w:bottom w:val="none" w:sz="0" w:space="0" w:color="auto"/>
            <w:right w:val="none" w:sz="0" w:space="0" w:color="auto"/>
          </w:divBdr>
        </w:div>
        <w:div w:id="767309728">
          <w:marLeft w:val="0"/>
          <w:marRight w:val="0"/>
          <w:marTop w:val="0"/>
          <w:marBottom w:val="0"/>
          <w:divBdr>
            <w:top w:val="none" w:sz="0" w:space="0" w:color="auto"/>
            <w:left w:val="none" w:sz="0" w:space="0" w:color="auto"/>
            <w:bottom w:val="none" w:sz="0" w:space="0" w:color="auto"/>
            <w:right w:val="none" w:sz="0" w:space="0" w:color="auto"/>
          </w:divBdr>
        </w:div>
        <w:div w:id="407964470">
          <w:marLeft w:val="0"/>
          <w:marRight w:val="0"/>
          <w:marTop w:val="0"/>
          <w:marBottom w:val="0"/>
          <w:divBdr>
            <w:top w:val="none" w:sz="0" w:space="0" w:color="auto"/>
            <w:left w:val="none" w:sz="0" w:space="0" w:color="auto"/>
            <w:bottom w:val="none" w:sz="0" w:space="0" w:color="auto"/>
            <w:right w:val="none" w:sz="0" w:space="0" w:color="auto"/>
          </w:divBdr>
        </w:div>
        <w:div w:id="724373077">
          <w:marLeft w:val="0"/>
          <w:marRight w:val="0"/>
          <w:marTop w:val="0"/>
          <w:marBottom w:val="0"/>
          <w:divBdr>
            <w:top w:val="none" w:sz="0" w:space="0" w:color="auto"/>
            <w:left w:val="none" w:sz="0" w:space="0" w:color="auto"/>
            <w:bottom w:val="none" w:sz="0" w:space="0" w:color="auto"/>
            <w:right w:val="none" w:sz="0" w:space="0" w:color="auto"/>
          </w:divBdr>
        </w:div>
        <w:div w:id="1912033509">
          <w:marLeft w:val="0"/>
          <w:marRight w:val="0"/>
          <w:marTop w:val="0"/>
          <w:marBottom w:val="0"/>
          <w:divBdr>
            <w:top w:val="none" w:sz="0" w:space="0" w:color="auto"/>
            <w:left w:val="none" w:sz="0" w:space="0" w:color="auto"/>
            <w:bottom w:val="none" w:sz="0" w:space="0" w:color="auto"/>
            <w:right w:val="none" w:sz="0" w:space="0" w:color="auto"/>
          </w:divBdr>
        </w:div>
        <w:div w:id="332685022">
          <w:marLeft w:val="0"/>
          <w:marRight w:val="0"/>
          <w:marTop w:val="0"/>
          <w:marBottom w:val="0"/>
          <w:divBdr>
            <w:top w:val="none" w:sz="0" w:space="0" w:color="auto"/>
            <w:left w:val="none" w:sz="0" w:space="0" w:color="auto"/>
            <w:bottom w:val="none" w:sz="0" w:space="0" w:color="auto"/>
            <w:right w:val="none" w:sz="0" w:space="0" w:color="auto"/>
          </w:divBdr>
        </w:div>
        <w:div w:id="245115045">
          <w:marLeft w:val="0"/>
          <w:marRight w:val="0"/>
          <w:marTop w:val="0"/>
          <w:marBottom w:val="0"/>
          <w:divBdr>
            <w:top w:val="none" w:sz="0" w:space="0" w:color="auto"/>
            <w:left w:val="none" w:sz="0" w:space="0" w:color="auto"/>
            <w:bottom w:val="none" w:sz="0" w:space="0" w:color="auto"/>
            <w:right w:val="none" w:sz="0" w:space="0" w:color="auto"/>
          </w:divBdr>
        </w:div>
        <w:div w:id="1293899887">
          <w:marLeft w:val="0"/>
          <w:marRight w:val="0"/>
          <w:marTop w:val="0"/>
          <w:marBottom w:val="0"/>
          <w:divBdr>
            <w:top w:val="none" w:sz="0" w:space="0" w:color="auto"/>
            <w:left w:val="none" w:sz="0" w:space="0" w:color="auto"/>
            <w:bottom w:val="none" w:sz="0" w:space="0" w:color="auto"/>
            <w:right w:val="none" w:sz="0" w:space="0" w:color="auto"/>
          </w:divBdr>
        </w:div>
        <w:div w:id="1334139729">
          <w:marLeft w:val="0"/>
          <w:marRight w:val="0"/>
          <w:marTop w:val="0"/>
          <w:marBottom w:val="0"/>
          <w:divBdr>
            <w:top w:val="none" w:sz="0" w:space="0" w:color="auto"/>
            <w:left w:val="none" w:sz="0" w:space="0" w:color="auto"/>
            <w:bottom w:val="none" w:sz="0" w:space="0" w:color="auto"/>
            <w:right w:val="none" w:sz="0" w:space="0" w:color="auto"/>
          </w:divBdr>
        </w:div>
        <w:div w:id="1707606386">
          <w:marLeft w:val="0"/>
          <w:marRight w:val="0"/>
          <w:marTop w:val="0"/>
          <w:marBottom w:val="0"/>
          <w:divBdr>
            <w:top w:val="none" w:sz="0" w:space="0" w:color="auto"/>
            <w:left w:val="none" w:sz="0" w:space="0" w:color="auto"/>
            <w:bottom w:val="none" w:sz="0" w:space="0" w:color="auto"/>
            <w:right w:val="none" w:sz="0" w:space="0" w:color="auto"/>
          </w:divBdr>
        </w:div>
        <w:div w:id="217715856">
          <w:marLeft w:val="0"/>
          <w:marRight w:val="0"/>
          <w:marTop w:val="0"/>
          <w:marBottom w:val="0"/>
          <w:divBdr>
            <w:top w:val="none" w:sz="0" w:space="0" w:color="auto"/>
            <w:left w:val="none" w:sz="0" w:space="0" w:color="auto"/>
            <w:bottom w:val="none" w:sz="0" w:space="0" w:color="auto"/>
            <w:right w:val="none" w:sz="0" w:space="0" w:color="auto"/>
          </w:divBdr>
        </w:div>
        <w:div w:id="1691906573">
          <w:marLeft w:val="0"/>
          <w:marRight w:val="0"/>
          <w:marTop w:val="0"/>
          <w:marBottom w:val="0"/>
          <w:divBdr>
            <w:top w:val="none" w:sz="0" w:space="0" w:color="auto"/>
            <w:left w:val="none" w:sz="0" w:space="0" w:color="auto"/>
            <w:bottom w:val="none" w:sz="0" w:space="0" w:color="auto"/>
            <w:right w:val="none" w:sz="0" w:space="0" w:color="auto"/>
          </w:divBdr>
        </w:div>
        <w:div w:id="220021480">
          <w:marLeft w:val="0"/>
          <w:marRight w:val="0"/>
          <w:marTop w:val="0"/>
          <w:marBottom w:val="0"/>
          <w:divBdr>
            <w:top w:val="none" w:sz="0" w:space="0" w:color="auto"/>
            <w:left w:val="none" w:sz="0" w:space="0" w:color="auto"/>
            <w:bottom w:val="none" w:sz="0" w:space="0" w:color="auto"/>
            <w:right w:val="none" w:sz="0" w:space="0" w:color="auto"/>
          </w:divBdr>
        </w:div>
        <w:div w:id="1737588594">
          <w:marLeft w:val="0"/>
          <w:marRight w:val="0"/>
          <w:marTop w:val="0"/>
          <w:marBottom w:val="0"/>
          <w:divBdr>
            <w:top w:val="none" w:sz="0" w:space="0" w:color="auto"/>
            <w:left w:val="none" w:sz="0" w:space="0" w:color="auto"/>
            <w:bottom w:val="none" w:sz="0" w:space="0" w:color="auto"/>
            <w:right w:val="none" w:sz="0" w:space="0" w:color="auto"/>
          </w:divBdr>
        </w:div>
        <w:div w:id="1972438679">
          <w:marLeft w:val="0"/>
          <w:marRight w:val="0"/>
          <w:marTop w:val="0"/>
          <w:marBottom w:val="0"/>
          <w:divBdr>
            <w:top w:val="none" w:sz="0" w:space="0" w:color="auto"/>
            <w:left w:val="none" w:sz="0" w:space="0" w:color="auto"/>
            <w:bottom w:val="none" w:sz="0" w:space="0" w:color="auto"/>
            <w:right w:val="none" w:sz="0" w:space="0" w:color="auto"/>
          </w:divBdr>
        </w:div>
        <w:div w:id="1709379764">
          <w:marLeft w:val="0"/>
          <w:marRight w:val="0"/>
          <w:marTop w:val="0"/>
          <w:marBottom w:val="0"/>
          <w:divBdr>
            <w:top w:val="none" w:sz="0" w:space="0" w:color="auto"/>
            <w:left w:val="none" w:sz="0" w:space="0" w:color="auto"/>
            <w:bottom w:val="none" w:sz="0" w:space="0" w:color="auto"/>
            <w:right w:val="none" w:sz="0" w:space="0" w:color="auto"/>
          </w:divBdr>
        </w:div>
        <w:div w:id="1539777917">
          <w:marLeft w:val="0"/>
          <w:marRight w:val="0"/>
          <w:marTop w:val="0"/>
          <w:marBottom w:val="0"/>
          <w:divBdr>
            <w:top w:val="none" w:sz="0" w:space="0" w:color="auto"/>
            <w:left w:val="none" w:sz="0" w:space="0" w:color="auto"/>
            <w:bottom w:val="none" w:sz="0" w:space="0" w:color="auto"/>
            <w:right w:val="none" w:sz="0" w:space="0" w:color="auto"/>
          </w:divBdr>
        </w:div>
        <w:div w:id="1050425957">
          <w:marLeft w:val="0"/>
          <w:marRight w:val="0"/>
          <w:marTop w:val="0"/>
          <w:marBottom w:val="0"/>
          <w:divBdr>
            <w:top w:val="none" w:sz="0" w:space="0" w:color="auto"/>
            <w:left w:val="none" w:sz="0" w:space="0" w:color="auto"/>
            <w:bottom w:val="none" w:sz="0" w:space="0" w:color="auto"/>
            <w:right w:val="none" w:sz="0" w:space="0" w:color="auto"/>
          </w:divBdr>
        </w:div>
        <w:div w:id="1124537460">
          <w:marLeft w:val="0"/>
          <w:marRight w:val="0"/>
          <w:marTop w:val="0"/>
          <w:marBottom w:val="0"/>
          <w:divBdr>
            <w:top w:val="none" w:sz="0" w:space="0" w:color="auto"/>
            <w:left w:val="none" w:sz="0" w:space="0" w:color="auto"/>
            <w:bottom w:val="none" w:sz="0" w:space="0" w:color="auto"/>
            <w:right w:val="none" w:sz="0" w:space="0" w:color="auto"/>
          </w:divBdr>
        </w:div>
        <w:div w:id="1089961613">
          <w:marLeft w:val="0"/>
          <w:marRight w:val="0"/>
          <w:marTop w:val="0"/>
          <w:marBottom w:val="0"/>
          <w:divBdr>
            <w:top w:val="none" w:sz="0" w:space="0" w:color="auto"/>
            <w:left w:val="none" w:sz="0" w:space="0" w:color="auto"/>
            <w:bottom w:val="none" w:sz="0" w:space="0" w:color="auto"/>
            <w:right w:val="none" w:sz="0" w:space="0" w:color="auto"/>
          </w:divBdr>
        </w:div>
        <w:div w:id="225604025">
          <w:marLeft w:val="0"/>
          <w:marRight w:val="0"/>
          <w:marTop w:val="0"/>
          <w:marBottom w:val="0"/>
          <w:divBdr>
            <w:top w:val="none" w:sz="0" w:space="0" w:color="auto"/>
            <w:left w:val="none" w:sz="0" w:space="0" w:color="auto"/>
            <w:bottom w:val="none" w:sz="0" w:space="0" w:color="auto"/>
            <w:right w:val="none" w:sz="0" w:space="0" w:color="auto"/>
          </w:divBdr>
        </w:div>
        <w:div w:id="2046782690">
          <w:marLeft w:val="0"/>
          <w:marRight w:val="0"/>
          <w:marTop w:val="0"/>
          <w:marBottom w:val="0"/>
          <w:divBdr>
            <w:top w:val="none" w:sz="0" w:space="0" w:color="auto"/>
            <w:left w:val="none" w:sz="0" w:space="0" w:color="auto"/>
            <w:bottom w:val="none" w:sz="0" w:space="0" w:color="auto"/>
            <w:right w:val="none" w:sz="0" w:space="0" w:color="auto"/>
          </w:divBdr>
        </w:div>
        <w:div w:id="918173127">
          <w:marLeft w:val="0"/>
          <w:marRight w:val="0"/>
          <w:marTop w:val="0"/>
          <w:marBottom w:val="0"/>
          <w:divBdr>
            <w:top w:val="none" w:sz="0" w:space="0" w:color="auto"/>
            <w:left w:val="none" w:sz="0" w:space="0" w:color="auto"/>
            <w:bottom w:val="none" w:sz="0" w:space="0" w:color="auto"/>
            <w:right w:val="none" w:sz="0" w:space="0" w:color="auto"/>
          </w:divBdr>
        </w:div>
        <w:div w:id="922422209">
          <w:marLeft w:val="0"/>
          <w:marRight w:val="0"/>
          <w:marTop w:val="0"/>
          <w:marBottom w:val="0"/>
          <w:divBdr>
            <w:top w:val="none" w:sz="0" w:space="0" w:color="auto"/>
            <w:left w:val="none" w:sz="0" w:space="0" w:color="auto"/>
            <w:bottom w:val="none" w:sz="0" w:space="0" w:color="auto"/>
            <w:right w:val="none" w:sz="0" w:space="0" w:color="auto"/>
          </w:divBdr>
        </w:div>
        <w:div w:id="2028436242">
          <w:marLeft w:val="0"/>
          <w:marRight w:val="0"/>
          <w:marTop w:val="0"/>
          <w:marBottom w:val="0"/>
          <w:divBdr>
            <w:top w:val="none" w:sz="0" w:space="0" w:color="auto"/>
            <w:left w:val="none" w:sz="0" w:space="0" w:color="auto"/>
            <w:bottom w:val="none" w:sz="0" w:space="0" w:color="auto"/>
            <w:right w:val="none" w:sz="0" w:space="0" w:color="auto"/>
          </w:divBdr>
        </w:div>
        <w:div w:id="488329558">
          <w:marLeft w:val="0"/>
          <w:marRight w:val="0"/>
          <w:marTop w:val="0"/>
          <w:marBottom w:val="0"/>
          <w:divBdr>
            <w:top w:val="none" w:sz="0" w:space="0" w:color="auto"/>
            <w:left w:val="none" w:sz="0" w:space="0" w:color="auto"/>
            <w:bottom w:val="none" w:sz="0" w:space="0" w:color="auto"/>
            <w:right w:val="none" w:sz="0" w:space="0" w:color="auto"/>
          </w:divBdr>
        </w:div>
        <w:div w:id="1749843702">
          <w:marLeft w:val="0"/>
          <w:marRight w:val="0"/>
          <w:marTop w:val="0"/>
          <w:marBottom w:val="0"/>
          <w:divBdr>
            <w:top w:val="none" w:sz="0" w:space="0" w:color="auto"/>
            <w:left w:val="none" w:sz="0" w:space="0" w:color="auto"/>
            <w:bottom w:val="none" w:sz="0" w:space="0" w:color="auto"/>
            <w:right w:val="none" w:sz="0" w:space="0" w:color="auto"/>
          </w:divBdr>
        </w:div>
        <w:div w:id="1075010303">
          <w:marLeft w:val="0"/>
          <w:marRight w:val="0"/>
          <w:marTop w:val="0"/>
          <w:marBottom w:val="0"/>
          <w:divBdr>
            <w:top w:val="none" w:sz="0" w:space="0" w:color="auto"/>
            <w:left w:val="none" w:sz="0" w:space="0" w:color="auto"/>
            <w:bottom w:val="none" w:sz="0" w:space="0" w:color="auto"/>
            <w:right w:val="none" w:sz="0" w:space="0" w:color="auto"/>
          </w:divBdr>
        </w:div>
        <w:div w:id="3480941">
          <w:marLeft w:val="0"/>
          <w:marRight w:val="0"/>
          <w:marTop w:val="0"/>
          <w:marBottom w:val="0"/>
          <w:divBdr>
            <w:top w:val="none" w:sz="0" w:space="0" w:color="auto"/>
            <w:left w:val="none" w:sz="0" w:space="0" w:color="auto"/>
            <w:bottom w:val="none" w:sz="0" w:space="0" w:color="auto"/>
            <w:right w:val="none" w:sz="0" w:space="0" w:color="auto"/>
          </w:divBdr>
        </w:div>
        <w:div w:id="1609315498">
          <w:marLeft w:val="0"/>
          <w:marRight w:val="0"/>
          <w:marTop w:val="0"/>
          <w:marBottom w:val="0"/>
          <w:divBdr>
            <w:top w:val="none" w:sz="0" w:space="0" w:color="auto"/>
            <w:left w:val="none" w:sz="0" w:space="0" w:color="auto"/>
            <w:bottom w:val="none" w:sz="0" w:space="0" w:color="auto"/>
            <w:right w:val="none" w:sz="0" w:space="0" w:color="auto"/>
          </w:divBdr>
        </w:div>
        <w:div w:id="1956130784">
          <w:marLeft w:val="0"/>
          <w:marRight w:val="0"/>
          <w:marTop w:val="0"/>
          <w:marBottom w:val="0"/>
          <w:divBdr>
            <w:top w:val="none" w:sz="0" w:space="0" w:color="auto"/>
            <w:left w:val="none" w:sz="0" w:space="0" w:color="auto"/>
            <w:bottom w:val="none" w:sz="0" w:space="0" w:color="auto"/>
            <w:right w:val="none" w:sz="0" w:space="0" w:color="auto"/>
          </w:divBdr>
        </w:div>
        <w:div w:id="1202399569">
          <w:marLeft w:val="0"/>
          <w:marRight w:val="0"/>
          <w:marTop w:val="0"/>
          <w:marBottom w:val="0"/>
          <w:divBdr>
            <w:top w:val="none" w:sz="0" w:space="0" w:color="auto"/>
            <w:left w:val="none" w:sz="0" w:space="0" w:color="auto"/>
            <w:bottom w:val="none" w:sz="0" w:space="0" w:color="auto"/>
            <w:right w:val="none" w:sz="0" w:space="0" w:color="auto"/>
          </w:divBdr>
        </w:div>
        <w:div w:id="551187137">
          <w:marLeft w:val="0"/>
          <w:marRight w:val="0"/>
          <w:marTop w:val="0"/>
          <w:marBottom w:val="0"/>
          <w:divBdr>
            <w:top w:val="none" w:sz="0" w:space="0" w:color="auto"/>
            <w:left w:val="none" w:sz="0" w:space="0" w:color="auto"/>
            <w:bottom w:val="none" w:sz="0" w:space="0" w:color="auto"/>
            <w:right w:val="none" w:sz="0" w:space="0" w:color="auto"/>
          </w:divBdr>
        </w:div>
        <w:div w:id="20710488">
          <w:marLeft w:val="0"/>
          <w:marRight w:val="0"/>
          <w:marTop w:val="0"/>
          <w:marBottom w:val="0"/>
          <w:divBdr>
            <w:top w:val="none" w:sz="0" w:space="0" w:color="auto"/>
            <w:left w:val="none" w:sz="0" w:space="0" w:color="auto"/>
            <w:bottom w:val="none" w:sz="0" w:space="0" w:color="auto"/>
            <w:right w:val="none" w:sz="0" w:space="0" w:color="auto"/>
          </w:divBdr>
        </w:div>
        <w:div w:id="713776214">
          <w:marLeft w:val="0"/>
          <w:marRight w:val="0"/>
          <w:marTop w:val="0"/>
          <w:marBottom w:val="0"/>
          <w:divBdr>
            <w:top w:val="none" w:sz="0" w:space="0" w:color="auto"/>
            <w:left w:val="none" w:sz="0" w:space="0" w:color="auto"/>
            <w:bottom w:val="none" w:sz="0" w:space="0" w:color="auto"/>
            <w:right w:val="none" w:sz="0" w:space="0" w:color="auto"/>
          </w:divBdr>
        </w:div>
        <w:div w:id="1638562631">
          <w:marLeft w:val="0"/>
          <w:marRight w:val="0"/>
          <w:marTop w:val="0"/>
          <w:marBottom w:val="0"/>
          <w:divBdr>
            <w:top w:val="none" w:sz="0" w:space="0" w:color="auto"/>
            <w:left w:val="none" w:sz="0" w:space="0" w:color="auto"/>
            <w:bottom w:val="none" w:sz="0" w:space="0" w:color="auto"/>
            <w:right w:val="none" w:sz="0" w:space="0" w:color="auto"/>
          </w:divBdr>
        </w:div>
        <w:div w:id="2105489164">
          <w:marLeft w:val="0"/>
          <w:marRight w:val="0"/>
          <w:marTop w:val="0"/>
          <w:marBottom w:val="0"/>
          <w:divBdr>
            <w:top w:val="none" w:sz="0" w:space="0" w:color="auto"/>
            <w:left w:val="none" w:sz="0" w:space="0" w:color="auto"/>
            <w:bottom w:val="none" w:sz="0" w:space="0" w:color="auto"/>
            <w:right w:val="none" w:sz="0" w:space="0" w:color="auto"/>
          </w:divBdr>
        </w:div>
        <w:div w:id="1729264889">
          <w:marLeft w:val="0"/>
          <w:marRight w:val="0"/>
          <w:marTop w:val="0"/>
          <w:marBottom w:val="0"/>
          <w:divBdr>
            <w:top w:val="none" w:sz="0" w:space="0" w:color="auto"/>
            <w:left w:val="none" w:sz="0" w:space="0" w:color="auto"/>
            <w:bottom w:val="none" w:sz="0" w:space="0" w:color="auto"/>
            <w:right w:val="none" w:sz="0" w:space="0" w:color="auto"/>
          </w:divBdr>
        </w:div>
        <w:div w:id="452021238">
          <w:marLeft w:val="0"/>
          <w:marRight w:val="0"/>
          <w:marTop w:val="0"/>
          <w:marBottom w:val="0"/>
          <w:divBdr>
            <w:top w:val="none" w:sz="0" w:space="0" w:color="auto"/>
            <w:left w:val="none" w:sz="0" w:space="0" w:color="auto"/>
            <w:bottom w:val="none" w:sz="0" w:space="0" w:color="auto"/>
            <w:right w:val="none" w:sz="0" w:space="0" w:color="auto"/>
          </w:divBdr>
        </w:div>
        <w:div w:id="838884434">
          <w:marLeft w:val="0"/>
          <w:marRight w:val="0"/>
          <w:marTop w:val="0"/>
          <w:marBottom w:val="0"/>
          <w:divBdr>
            <w:top w:val="none" w:sz="0" w:space="0" w:color="auto"/>
            <w:left w:val="none" w:sz="0" w:space="0" w:color="auto"/>
            <w:bottom w:val="none" w:sz="0" w:space="0" w:color="auto"/>
            <w:right w:val="none" w:sz="0" w:space="0" w:color="auto"/>
          </w:divBdr>
        </w:div>
        <w:div w:id="1289556050">
          <w:marLeft w:val="0"/>
          <w:marRight w:val="0"/>
          <w:marTop w:val="0"/>
          <w:marBottom w:val="0"/>
          <w:divBdr>
            <w:top w:val="none" w:sz="0" w:space="0" w:color="auto"/>
            <w:left w:val="none" w:sz="0" w:space="0" w:color="auto"/>
            <w:bottom w:val="none" w:sz="0" w:space="0" w:color="auto"/>
            <w:right w:val="none" w:sz="0" w:space="0" w:color="auto"/>
          </w:divBdr>
        </w:div>
        <w:div w:id="337778249">
          <w:marLeft w:val="0"/>
          <w:marRight w:val="0"/>
          <w:marTop w:val="0"/>
          <w:marBottom w:val="0"/>
          <w:divBdr>
            <w:top w:val="none" w:sz="0" w:space="0" w:color="auto"/>
            <w:left w:val="none" w:sz="0" w:space="0" w:color="auto"/>
            <w:bottom w:val="none" w:sz="0" w:space="0" w:color="auto"/>
            <w:right w:val="none" w:sz="0" w:space="0" w:color="auto"/>
          </w:divBdr>
        </w:div>
        <w:div w:id="68693287">
          <w:marLeft w:val="0"/>
          <w:marRight w:val="0"/>
          <w:marTop w:val="0"/>
          <w:marBottom w:val="0"/>
          <w:divBdr>
            <w:top w:val="none" w:sz="0" w:space="0" w:color="auto"/>
            <w:left w:val="none" w:sz="0" w:space="0" w:color="auto"/>
            <w:bottom w:val="none" w:sz="0" w:space="0" w:color="auto"/>
            <w:right w:val="none" w:sz="0" w:space="0" w:color="auto"/>
          </w:divBdr>
        </w:div>
        <w:div w:id="1176460529">
          <w:marLeft w:val="0"/>
          <w:marRight w:val="0"/>
          <w:marTop w:val="0"/>
          <w:marBottom w:val="0"/>
          <w:divBdr>
            <w:top w:val="none" w:sz="0" w:space="0" w:color="auto"/>
            <w:left w:val="none" w:sz="0" w:space="0" w:color="auto"/>
            <w:bottom w:val="none" w:sz="0" w:space="0" w:color="auto"/>
            <w:right w:val="none" w:sz="0" w:space="0" w:color="auto"/>
          </w:divBdr>
        </w:div>
        <w:div w:id="722601014">
          <w:marLeft w:val="0"/>
          <w:marRight w:val="0"/>
          <w:marTop w:val="0"/>
          <w:marBottom w:val="0"/>
          <w:divBdr>
            <w:top w:val="none" w:sz="0" w:space="0" w:color="auto"/>
            <w:left w:val="none" w:sz="0" w:space="0" w:color="auto"/>
            <w:bottom w:val="none" w:sz="0" w:space="0" w:color="auto"/>
            <w:right w:val="none" w:sz="0" w:space="0" w:color="auto"/>
          </w:divBdr>
        </w:div>
        <w:div w:id="279921078">
          <w:marLeft w:val="0"/>
          <w:marRight w:val="0"/>
          <w:marTop w:val="0"/>
          <w:marBottom w:val="0"/>
          <w:divBdr>
            <w:top w:val="none" w:sz="0" w:space="0" w:color="auto"/>
            <w:left w:val="none" w:sz="0" w:space="0" w:color="auto"/>
            <w:bottom w:val="none" w:sz="0" w:space="0" w:color="auto"/>
            <w:right w:val="none" w:sz="0" w:space="0" w:color="auto"/>
          </w:divBdr>
        </w:div>
        <w:div w:id="21326447">
          <w:marLeft w:val="0"/>
          <w:marRight w:val="0"/>
          <w:marTop w:val="0"/>
          <w:marBottom w:val="0"/>
          <w:divBdr>
            <w:top w:val="none" w:sz="0" w:space="0" w:color="auto"/>
            <w:left w:val="none" w:sz="0" w:space="0" w:color="auto"/>
            <w:bottom w:val="none" w:sz="0" w:space="0" w:color="auto"/>
            <w:right w:val="none" w:sz="0" w:space="0" w:color="auto"/>
          </w:divBdr>
        </w:div>
        <w:div w:id="1429084715">
          <w:marLeft w:val="0"/>
          <w:marRight w:val="0"/>
          <w:marTop w:val="0"/>
          <w:marBottom w:val="0"/>
          <w:divBdr>
            <w:top w:val="none" w:sz="0" w:space="0" w:color="auto"/>
            <w:left w:val="none" w:sz="0" w:space="0" w:color="auto"/>
            <w:bottom w:val="none" w:sz="0" w:space="0" w:color="auto"/>
            <w:right w:val="none" w:sz="0" w:space="0" w:color="auto"/>
          </w:divBdr>
        </w:div>
        <w:div w:id="2089114782">
          <w:marLeft w:val="0"/>
          <w:marRight w:val="0"/>
          <w:marTop w:val="0"/>
          <w:marBottom w:val="0"/>
          <w:divBdr>
            <w:top w:val="none" w:sz="0" w:space="0" w:color="auto"/>
            <w:left w:val="none" w:sz="0" w:space="0" w:color="auto"/>
            <w:bottom w:val="none" w:sz="0" w:space="0" w:color="auto"/>
            <w:right w:val="none" w:sz="0" w:space="0" w:color="auto"/>
          </w:divBdr>
        </w:div>
        <w:div w:id="835340396">
          <w:marLeft w:val="0"/>
          <w:marRight w:val="0"/>
          <w:marTop w:val="0"/>
          <w:marBottom w:val="0"/>
          <w:divBdr>
            <w:top w:val="none" w:sz="0" w:space="0" w:color="auto"/>
            <w:left w:val="none" w:sz="0" w:space="0" w:color="auto"/>
            <w:bottom w:val="none" w:sz="0" w:space="0" w:color="auto"/>
            <w:right w:val="none" w:sz="0" w:space="0" w:color="auto"/>
          </w:divBdr>
        </w:div>
        <w:div w:id="1789548343">
          <w:marLeft w:val="0"/>
          <w:marRight w:val="0"/>
          <w:marTop w:val="0"/>
          <w:marBottom w:val="0"/>
          <w:divBdr>
            <w:top w:val="none" w:sz="0" w:space="0" w:color="auto"/>
            <w:left w:val="none" w:sz="0" w:space="0" w:color="auto"/>
            <w:bottom w:val="none" w:sz="0" w:space="0" w:color="auto"/>
            <w:right w:val="none" w:sz="0" w:space="0" w:color="auto"/>
          </w:divBdr>
        </w:div>
        <w:div w:id="1870751881">
          <w:marLeft w:val="0"/>
          <w:marRight w:val="0"/>
          <w:marTop w:val="0"/>
          <w:marBottom w:val="0"/>
          <w:divBdr>
            <w:top w:val="none" w:sz="0" w:space="0" w:color="auto"/>
            <w:left w:val="none" w:sz="0" w:space="0" w:color="auto"/>
            <w:bottom w:val="none" w:sz="0" w:space="0" w:color="auto"/>
            <w:right w:val="none" w:sz="0" w:space="0" w:color="auto"/>
          </w:divBdr>
        </w:div>
        <w:div w:id="1694838750">
          <w:marLeft w:val="0"/>
          <w:marRight w:val="0"/>
          <w:marTop w:val="0"/>
          <w:marBottom w:val="0"/>
          <w:divBdr>
            <w:top w:val="none" w:sz="0" w:space="0" w:color="auto"/>
            <w:left w:val="none" w:sz="0" w:space="0" w:color="auto"/>
            <w:bottom w:val="none" w:sz="0" w:space="0" w:color="auto"/>
            <w:right w:val="none" w:sz="0" w:space="0" w:color="auto"/>
          </w:divBdr>
        </w:div>
        <w:div w:id="1986199769">
          <w:marLeft w:val="0"/>
          <w:marRight w:val="0"/>
          <w:marTop w:val="0"/>
          <w:marBottom w:val="0"/>
          <w:divBdr>
            <w:top w:val="none" w:sz="0" w:space="0" w:color="auto"/>
            <w:left w:val="none" w:sz="0" w:space="0" w:color="auto"/>
            <w:bottom w:val="none" w:sz="0" w:space="0" w:color="auto"/>
            <w:right w:val="none" w:sz="0" w:space="0" w:color="auto"/>
          </w:divBdr>
        </w:div>
        <w:div w:id="394164266">
          <w:marLeft w:val="0"/>
          <w:marRight w:val="0"/>
          <w:marTop w:val="0"/>
          <w:marBottom w:val="0"/>
          <w:divBdr>
            <w:top w:val="none" w:sz="0" w:space="0" w:color="auto"/>
            <w:left w:val="none" w:sz="0" w:space="0" w:color="auto"/>
            <w:bottom w:val="none" w:sz="0" w:space="0" w:color="auto"/>
            <w:right w:val="none" w:sz="0" w:space="0" w:color="auto"/>
          </w:divBdr>
        </w:div>
        <w:div w:id="33308549">
          <w:marLeft w:val="0"/>
          <w:marRight w:val="0"/>
          <w:marTop w:val="0"/>
          <w:marBottom w:val="0"/>
          <w:divBdr>
            <w:top w:val="none" w:sz="0" w:space="0" w:color="auto"/>
            <w:left w:val="none" w:sz="0" w:space="0" w:color="auto"/>
            <w:bottom w:val="none" w:sz="0" w:space="0" w:color="auto"/>
            <w:right w:val="none" w:sz="0" w:space="0" w:color="auto"/>
          </w:divBdr>
        </w:div>
        <w:div w:id="1713651158">
          <w:marLeft w:val="0"/>
          <w:marRight w:val="0"/>
          <w:marTop w:val="0"/>
          <w:marBottom w:val="0"/>
          <w:divBdr>
            <w:top w:val="none" w:sz="0" w:space="0" w:color="auto"/>
            <w:left w:val="none" w:sz="0" w:space="0" w:color="auto"/>
            <w:bottom w:val="none" w:sz="0" w:space="0" w:color="auto"/>
            <w:right w:val="none" w:sz="0" w:space="0" w:color="auto"/>
          </w:divBdr>
        </w:div>
        <w:div w:id="1225605623">
          <w:marLeft w:val="0"/>
          <w:marRight w:val="0"/>
          <w:marTop w:val="0"/>
          <w:marBottom w:val="0"/>
          <w:divBdr>
            <w:top w:val="none" w:sz="0" w:space="0" w:color="auto"/>
            <w:left w:val="none" w:sz="0" w:space="0" w:color="auto"/>
            <w:bottom w:val="none" w:sz="0" w:space="0" w:color="auto"/>
            <w:right w:val="none" w:sz="0" w:space="0" w:color="auto"/>
          </w:divBdr>
        </w:div>
        <w:div w:id="1283733500">
          <w:marLeft w:val="0"/>
          <w:marRight w:val="0"/>
          <w:marTop w:val="0"/>
          <w:marBottom w:val="0"/>
          <w:divBdr>
            <w:top w:val="none" w:sz="0" w:space="0" w:color="auto"/>
            <w:left w:val="none" w:sz="0" w:space="0" w:color="auto"/>
            <w:bottom w:val="none" w:sz="0" w:space="0" w:color="auto"/>
            <w:right w:val="none" w:sz="0" w:space="0" w:color="auto"/>
          </w:divBdr>
        </w:div>
        <w:div w:id="1751149437">
          <w:marLeft w:val="0"/>
          <w:marRight w:val="0"/>
          <w:marTop w:val="0"/>
          <w:marBottom w:val="0"/>
          <w:divBdr>
            <w:top w:val="none" w:sz="0" w:space="0" w:color="auto"/>
            <w:left w:val="none" w:sz="0" w:space="0" w:color="auto"/>
            <w:bottom w:val="none" w:sz="0" w:space="0" w:color="auto"/>
            <w:right w:val="none" w:sz="0" w:space="0" w:color="auto"/>
          </w:divBdr>
        </w:div>
        <w:div w:id="1368333922">
          <w:marLeft w:val="0"/>
          <w:marRight w:val="0"/>
          <w:marTop w:val="0"/>
          <w:marBottom w:val="0"/>
          <w:divBdr>
            <w:top w:val="none" w:sz="0" w:space="0" w:color="auto"/>
            <w:left w:val="none" w:sz="0" w:space="0" w:color="auto"/>
            <w:bottom w:val="none" w:sz="0" w:space="0" w:color="auto"/>
            <w:right w:val="none" w:sz="0" w:space="0" w:color="auto"/>
          </w:divBdr>
        </w:div>
        <w:div w:id="630870202">
          <w:marLeft w:val="0"/>
          <w:marRight w:val="0"/>
          <w:marTop w:val="0"/>
          <w:marBottom w:val="0"/>
          <w:divBdr>
            <w:top w:val="none" w:sz="0" w:space="0" w:color="auto"/>
            <w:left w:val="none" w:sz="0" w:space="0" w:color="auto"/>
            <w:bottom w:val="none" w:sz="0" w:space="0" w:color="auto"/>
            <w:right w:val="none" w:sz="0" w:space="0" w:color="auto"/>
          </w:divBdr>
        </w:div>
        <w:div w:id="426729960">
          <w:marLeft w:val="0"/>
          <w:marRight w:val="0"/>
          <w:marTop w:val="0"/>
          <w:marBottom w:val="0"/>
          <w:divBdr>
            <w:top w:val="none" w:sz="0" w:space="0" w:color="auto"/>
            <w:left w:val="none" w:sz="0" w:space="0" w:color="auto"/>
            <w:bottom w:val="none" w:sz="0" w:space="0" w:color="auto"/>
            <w:right w:val="none" w:sz="0" w:space="0" w:color="auto"/>
          </w:divBdr>
        </w:div>
        <w:div w:id="356196831">
          <w:marLeft w:val="0"/>
          <w:marRight w:val="0"/>
          <w:marTop w:val="0"/>
          <w:marBottom w:val="0"/>
          <w:divBdr>
            <w:top w:val="none" w:sz="0" w:space="0" w:color="auto"/>
            <w:left w:val="none" w:sz="0" w:space="0" w:color="auto"/>
            <w:bottom w:val="none" w:sz="0" w:space="0" w:color="auto"/>
            <w:right w:val="none" w:sz="0" w:space="0" w:color="auto"/>
          </w:divBdr>
        </w:div>
        <w:div w:id="1844932663">
          <w:marLeft w:val="0"/>
          <w:marRight w:val="0"/>
          <w:marTop w:val="0"/>
          <w:marBottom w:val="0"/>
          <w:divBdr>
            <w:top w:val="none" w:sz="0" w:space="0" w:color="auto"/>
            <w:left w:val="none" w:sz="0" w:space="0" w:color="auto"/>
            <w:bottom w:val="none" w:sz="0" w:space="0" w:color="auto"/>
            <w:right w:val="none" w:sz="0" w:space="0" w:color="auto"/>
          </w:divBdr>
        </w:div>
        <w:div w:id="505171578">
          <w:marLeft w:val="0"/>
          <w:marRight w:val="0"/>
          <w:marTop w:val="0"/>
          <w:marBottom w:val="0"/>
          <w:divBdr>
            <w:top w:val="none" w:sz="0" w:space="0" w:color="auto"/>
            <w:left w:val="none" w:sz="0" w:space="0" w:color="auto"/>
            <w:bottom w:val="none" w:sz="0" w:space="0" w:color="auto"/>
            <w:right w:val="none" w:sz="0" w:space="0" w:color="auto"/>
          </w:divBdr>
        </w:div>
        <w:div w:id="908615036">
          <w:marLeft w:val="0"/>
          <w:marRight w:val="0"/>
          <w:marTop w:val="0"/>
          <w:marBottom w:val="0"/>
          <w:divBdr>
            <w:top w:val="none" w:sz="0" w:space="0" w:color="auto"/>
            <w:left w:val="none" w:sz="0" w:space="0" w:color="auto"/>
            <w:bottom w:val="none" w:sz="0" w:space="0" w:color="auto"/>
            <w:right w:val="none" w:sz="0" w:space="0" w:color="auto"/>
          </w:divBdr>
        </w:div>
        <w:div w:id="223180251">
          <w:marLeft w:val="0"/>
          <w:marRight w:val="0"/>
          <w:marTop w:val="0"/>
          <w:marBottom w:val="0"/>
          <w:divBdr>
            <w:top w:val="none" w:sz="0" w:space="0" w:color="auto"/>
            <w:left w:val="none" w:sz="0" w:space="0" w:color="auto"/>
            <w:bottom w:val="none" w:sz="0" w:space="0" w:color="auto"/>
            <w:right w:val="none" w:sz="0" w:space="0" w:color="auto"/>
          </w:divBdr>
        </w:div>
        <w:div w:id="56900416">
          <w:marLeft w:val="0"/>
          <w:marRight w:val="0"/>
          <w:marTop w:val="0"/>
          <w:marBottom w:val="0"/>
          <w:divBdr>
            <w:top w:val="none" w:sz="0" w:space="0" w:color="auto"/>
            <w:left w:val="none" w:sz="0" w:space="0" w:color="auto"/>
            <w:bottom w:val="none" w:sz="0" w:space="0" w:color="auto"/>
            <w:right w:val="none" w:sz="0" w:space="0" w:color="auto"/>
          </w:divBdr>
        </w:div>
        <w:div w:id="243033336">
          <w:marLeft w:val="0"/>
          <w:marRight w:val="0"/>
          <w:marTop w:val="0"/>
          <w:marBottom w:val="0"/>
          <w:divBdr>
            <w:top w:val="none" w:sz="0" w:space="0" w:color="auto"/>
            <w:left w:val="none" w:sz="0" w:space="0" w:color="auto"/>
            <w:bottom w:val="none" w:sz="0" w:space="0" w:color="auto"/>
            <w:right w:val="none" w:sz="0" w:space="0" w:color="auto"/>
          </w:divBdr>
        </w:div>
        <w:div w:id="723288044">
          <w:marLeft w:val="0"/>
          <w:marRight w:val="0"/>
          <w:marTop w:val="0"/>
          <w:marBottom w:val="0"/>
          <w:divBdr>
            <w:top w:val="none" w:sz="0" w:space="0" w:color="auto"/>
            <w:left w:val="none" w:sz="0" w:space="0" w:color="auto"/>
            <w:bottom w:val="none" w:sz="0" w:space="0" w:color="auto"/>
            <w:right w:val="none" w:sz="0" w:space="0" w:color="auto"/>
          </w:divBdr>
        </w:div>
        <w:div w:id="948201008">
          <w:marLeft w:val="0"/>
          <w:marRight w:val="0"/>
          <w:marTop w:val="0"/>
          <w:marBottom w:val="0"/>
          <w:divBdr>
            <w:top w:val="none" w:sz="0" w:space="0" w:color="auto"/>
            <w:left w:val="none" w:sz="0" w:space="0" w:color="auto"/>
            <w:bottom w:val="none" w:sz="0" w:space="0" w:color="auto"/>
            <w:right w:val="none" w:sz="0" w:space="0" w:color="auto"/>
          </w:divBdr>
        </w:div>
        <w:div w:id="1904215182">
          <w:marLeft w:val="0"/>
          <w:marRight w:val="0"/>
          <w:marTop w:val="0"/>
          <w:marBottom w:val="0"/>
          <w:divBdr>
            <w:top w:val="none" w:sz="0" w:space="0" w:color="auto"/>
            <w:left w:val="none" w:sz="0" w:space="0" w:color="auto"/>
            <w:bottom w:val="none" w:sz="0" w:space="0" w:color="auto"/>
            <w:right w:val="none" w:sz="0" w:space="0" w:color="auto"/>
          </w:divBdr>
        </w:div>
        <w:div w:id="1343896342">
          <w:marLeft w:val="0"/>
          <w:marRight w:val="0"/>
          <w:marTop w:val="0"/>
          <w:marBottom w:val="0"/>
          <w:divBdr>
            <w:top w:val="none" w:sz="0" w:space="0" w:color="auto"/>
            <w:left w:val="none" w:sz="0" w:space="0" w:color="auto"/>
            <w:bottom w:val="none" w:sz="0" w:space="0" w:color="auto"/>
            <w:right w:val="none" w:sz="0" w:space="0" w:color="auto"/>
          </w:divBdr>
        </w:div>
        <w:div w:id="1467239884">
          <w:marLeft w:val="0"/>
          <w:marRight w:val="0"/>
          <w:marTop w:val="0"/>
          <w:marBottom w:val="0"/>
          <w:divBdr>
            <w:top w:val="none" w:sz="0" w:space="0" w:color="auto"/>
            <w:left w:val="none" w:sz="0" w:space="0" w:color="auto"/>
            <w:bottom w:val="none" w:sz="0" w:space="0" w:color="auto"/>
            <w:right w:val="none" w:sz="0" w:space="0" w:color="auto"/>
          </w:divBdr>
        </w:div>
        <w:div w:id="393624220">
          <w:marLeft w:val="0"/>
          <w:marRight w:val="0"/>
          <w:marTop w:val="0"/>
          <w:marBottom w:val="0"/>
          <w:divBdr>
            <w:top w:val="none" w:sz="0" w:space="0" w:color="auto"/>
            <w:left w:val="none" w:sz="0" w:space="0" w:color="auto"/>
            <w:bottom w:val="none" w:sz="0" w:space="0" w:color="auto"/>
            <w:right w:val="none" w:sz="0" w:space="0" w:color="auto"/>
          </w:divBdr>
        </w:div>
        <w:div w:id="106238992">
          <w:marLeft w:val="0"/>
          <w:marRight w:val="0"/>
          <w:marTop w:val="0"/>
          <w:marBottom w:val="0"/>
          <w:divBdr>
            <w:top w:val="none" w:sz="0" w:space="0" w:color="auto"/>
            <w:left w:val="none" w:sz="0" w:space="0" w:color="auto"/>
            <w:bottom w:val="none" w:sz="0" w:space="0" w:color="auto"/>
            <w:right w:val="none" w:sz="0" w:space="0" w:color="auto"/>
          </w:divBdr>
        </w:div>
        <w:div w:id="872234903">
          <w:marLeft w:val="0"/>
          <w:marRight w:val="0"/>
          <w:marTop w:val="0"/>
          <w:marBottom w:val="0"/>
          <w:divBdr>
            <w:top w:val="none" w:sz="0" w:space="0" w:color="auto"/>
            <w:left w:val="none" w:sz="0" w:space="0" w:color="auto"/>
            <w:bottom w:val="none" w:sz="0" w:space="0" w:color="auto"/>
            <w:right w:val="none" w:sz="0" w:space="0" w:color="auto"/>
          </w:divBdr>
        </w:div>
        <w:div w:id="737170581">
          <w:marLeft w:val="0"/>
          <w:marRight w:val="0"/>
          <w:marTop w:val="0"/>
          <w:marBottom w:val="0"/>
          <w:divBdr>
            <w:top w:val="none" w:sz="0" w:space="0" w:color="auto"/>
            <w:left w:val="none" w:sz="0" w:space="0" w:color="auto"/>
            <w:bottom w:val="none" w:sz="0" w:space="0" w:color="auto"/>
            <w:right w:val="none" w:sz="0" w:space="0" w:color="auto"/>
          </w:divBdr>
        </w:div>
        <w:div w:id="172501365">
          <w:marLeft w:val="0"/>
          <w:marRight w:val="0"/>
          <w:marTop w:val="0"/>
          <w:marBottom w:val="0"/>
          <w:divBdr>
            <w:top w:val="none" w:sz="0" w:space="0" w:color="auto"/>
            <w:left w:val="none" w:sz="0" w:space="0" w:color="auto"/>
            <w:bottom w:val="none" w:sz="0" w:space="0" w:color="auto"/>
            <w:right w:val="none" w:sz="0" w:space="0" w:color="auto"/>
          </w:divBdr>
        </w:div>
        <w:div w:id="5596319">
          <w:marLeft w:val="0"/>
          <w:marRight w:val="0"/>
          <w:marTop w:val="0"/>
          <w:marBottom w:val="0"/>
          <w:divBdr>
            <w:top w:val="none" w:sz="0" w:space="0" w:color="auto"/>
            <w:left w:val="none" w:sz="0" w:space="0" w:color="auto"/>
            <w:bottom w:val="none" w:sz="0" w:space="0" w:color="auto"/>
            <w:right w:val="none" w:sz="0" w:space="0" w:color="auto"/>
          </w:divBdr>
        </w:div>
        <w:div w:id="1289508446">
          <w:marLeft w:val="0"/>
          <w:marRight w:val="0"/>
          <w:marTop w:val="0"/>
          <w:marBottom w:val="0"/>
          <w:divBdr>
            <w:top w:val="none" w:sz="0" w:space="0" w:color="auto"/>
            <w:left w:val="none" w:sz="0" w:space="0" w:color="auto"/>
            <w:bottom w:val="none" w:sz="0" w:space="0" w:color="auto"/>
            <w:right w:val="none" w:sz="0" w:space="0" w:color="auto"/>
          </w:divBdr>
        </w:div>
        <w:div w:id="2114399537">
          <w:marLeft w:val="0"/>
          <w:marRight w:val="0"/>
          <w:marTop w:val="0"/>
          <w:marBottom w:val="0"/>
          <w:divBdr>
            <w:top w:val="none" w:sz="0" w:space="0" w:color="auto"/>
            <w:left w:val="none" w:sz="0" w:space="0" w:color="auto"/>
            <w:bottom w:val="none" w:sz="0" w:space="0" w:color="auto"/>
            <w:right w:val="none" w:sz="0" w:space="0" w:color="auto"/>
          </w:divBdr>
        </w:div>
        <w:div w:id="869298114">
          <w:marLeft w:val="0"/>
          <w:marRight w:val="0"/>
          <w:marTop w:val="0"/>
          <w:marBottom w:val="0"/>
          <w:divBdr>
            <w:top w:val="none" w:sz="0" w:space="0" w:color="auto"/>
            <w:left w:val="none" w:sz="0" w:space="0" w:color="auto"/>
            <w:bottom w:val="none" w:sz="0" w:space="0" w:color="auto"/>
            <w:right w:val="none" w:sz="0" w:space="0" w:color="auto"/>
          </w:divBdr>
        </w:div>
        <w:div w:id="557014248">
          <w:marLeft w:val="0"/>
          <w:marRight w:val="0"/>
          <w:marTop w:val="0"/>
          <w:marBottom w:val="0"/>
          <w:divBdr>
            <w:top w:val="none" w:sz="0" w:space="0" w:color="auto"/>
            <w:left w:val="none" w:sz="0" w:space="0" w:color="auto"/>
            <w:bottom w:val="none" w:sz="0" w:space="0" w:color="auto"/>
            <w:right w:val="none" w:sz="0" w:space="0" w:color="auto"/>
          </w:divBdr>
        </w:div>
        <w:div w:id="1703898525">
          <w:marLeft w:val="0"/>
          <w:marRight w:val="0"/>
          <w:marTop w:val="0"/>
          <w:marBottom w:val="0"/>
          <w:divBdr>
            <w:top w:val="none" w:sz="0" w:space="0" w:color="auto"/>
            <w:left w:val="none" w:sz="0" w:space="0" w:color="auto"/>
            <w:bottom w:val="none" w:sz="0" w:space="0" w:color="auto"/>
            <w:right w:val="none" w:sz="0" w:space="0" w:color="auto"/>
          </w:divBdr>
        </w:div>
        <w:div w:id="1527408390">
          <w:marLeft w:val="0"/>
          <w:marRight w:val="0"/>
          <w:marTop w:val="0"/>
          <w:marBottom w:val="0"/>
          <w:divBdr>
            <w:top w:val="none" w:sz="0" w:space="0" w:color="auto"/>
            <w:left w:val="none" w:sz="0" w:space="0" w:color="auto"/>
            <w:bottom w:val="none" w:sz="0" w:space="0" w:color="auto"/>
            <w:right w:val="none" w:sz="0" w:space="0" w:color="auto"/>
          </w:divBdr>
        </w:div>
        <w:div w:id="1710910636">
          <w:marLeft w:val="0"/>
          <w:marRight w:val="0"/>
          <w:marTop w:val="0"/>
          <w:marBottom w:val="0"/>
          <w:divBdr>
            <w:top w:val="none" w:sz="0" w:space="0" w:color="auto"/>
            <w:left w:val="none" w:sz="0" w:space="0" w:color="auto"/>
            <w:bottom w:val="none" w:sz="0" w:space="0" w:color="auto"/>
            <w:right w:val="none" w:sz="0" w:space="0" w:color="auto"/>
          </w:divBdr>
        </w:div>
      </w:divsChild>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623072865">
      <w:bodyDiv w:val="1"/>
      <w:marLeft w:val="0"/>
      <w:marRight w:val="0"/>
      <w:marTop w:val="0"/>
      <w:marBottom w:val="0"/>
      <w:divBdr>
        <w:top w:val="none" w:sz="0" w:space="0" w:color="auto"/>
        <w:left w:val="none" w:sz="0" w:space="0" w:color="auto"/>
        <w:bottom w:val="none" w:sz="0" w:space="0" w:color="auto"/>
        <w:right w:val="none" w:sz="0" w:space="0" w:color="auto"/>
      </w:divBdr>
    </w:div>
    <w:div w:id="631056560">
      <w:bodyDiv w:val="1"/>
      <w:marLeft w:val="0"/>
      <w:marRight w:val="0"/>
      <w:marTop w:val="0"/>
      <w:marBottom w:val="0"/>
      <w:divBdr>
        <w:top w:val="none" w:sz="0" w:space="0" w:color="auto"/>
        <w:left w:val="none" w:sz="0" w:space="0" w:color="auto"/>
        <w:bottom w:val="none" w:sz="0" w:space="0" w:color="auto"/>
        <w:right w:val="none" w:sz="0" w:space="0" w:color="auto"/>
      </w:divBdr>
    </w:div>
    <w:div w:id="683552917">
      <w:bodyDiv w:val="1"/>
      <w:marLeft w:val="0"/>
      <w:marRight w:val="0"/>
      <w:marTop w:val="0"/>
      <w:marBottom w:val="0"/>
      <w:divBdr>
        <w:top w:val="none" w:sz="0" w:space="0" w:color="auto"/>
        <w:left w:val="none" w:sz="0" w:space="0" w:color="auto"/>
        <w:bottom w:val="none" w:sz="0" w:space="0" w:color="auto"/>
        <w:right w:val="none" w:sz="0" w:space="0" w:color="auto"/>
      </w:divBdr>
      <w:divsChild>
        <w:div w:id="1499076249">
          <w:marLeft w:val="0"/>
          <w:marRight w:val="0"/>
          <w:marTop w:val="0"/>
          <w:marBottom w:val="0"/>
          <w:divBdr>
            <w:top w:val="none" w:sz="0" w:space="0" w:color="auto"/>
            <w:left w:val="none" w:sz="0" w:space="0" w:color="auto"/>
            <w:bottom w:val="none" w:sz="0" w:space="0" w:color="auto"/>
            <w:right w:val="none" w:sz="0" w:space="0" w:color="auto"/>
          </w:divBdr>
        </w:div>
        <w:div w:id="133060379">
          <w:marLeft w:val="0"/>
          <w:marRight w:val="0"/>
          <w:marTop w:val="0"/>
          <w:marBottom w:val="0"/>
          <w:divBdr>
            <w:top w:val="none" w:sz="0" w:space="0" w:color="auto"/>
            <w:left w:val="none" w:sz="0" w:space="0" w:color="auto"/>
            <w:bottom w:val="none" w:sz="0" w:space="0" w:color="auto"/>
            <w:right w:val="none" w:sz="0" w:space="0" w:color="auto"/>
          </w:divBdr>
        </w:div>
        <w:div w:id="1288780158">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40446680">
      <w:bodyDiv w:val="1"/>
      <w:marLeft w:val="0"/>
      <w:marRight w:val="0"/>
      <w:marTop w:val="0"/>
      <w:marBottom w:val="0"/>
      <w:divBdr>
        <w:top w:val="none" w:sz="0" w:space="0" w:color="auto"/>
        <w:left w:val="none" w:sz="0" w:space="0" w:color="auto"/>
        <w:bottom w:val="none" w:sz="0" w:space="0" w:color="auto"/>
        <w:right w:val="none" w:sz="0" w:space="0" w:color="auto"/>
      </w:divBdr>
    </w:div>
    <w:div w:id="753012414">
      <w:bodyDiv w:val="1"/>
      <w:marLeft w:val="0"/>
      <w:marRight w:val="0"/>
      <w:marTop w:val="0"/>
      <w:marBottom w:val="0"/>
      <w:divBdr>
        <w:top w:val="none" w:sz="0" w:space="0" w:color="auto"/>
        <w:left w:val="none" w:sz="0" w:space="0" w:color="auto"/>
        <w:bottom w:val="none" w:sz="0" w:space="0" w:color="auto"/>
        <w:right w:val="none" w:sz="0" w:space="0" w:color="auto"/>
      </w:divBdr>
      <w:divsChild>
        <w:div w:id="1827669723">
          <w:marLeft w:val="0"/>
          <w:marRight w:val="0"/>
          <w:marTop w:val="0"/>
          <w:marBottom w:val="0"/>
          <w:divBdr>
            <w:top w:val="none" w:sz="0" w:space="0" w:color="auto"/>
            <w:left w:val="none" w:sz="0" w:space="0" w:color="auto"/>
            <w:bottom w:val="none" w:sz="0" w:space="0" w:color="auto"/>
            <w:right w:val="none" w:sz="0" w:space="0" w:color="auto"/>
          </w:divBdr>
          <w:divsChild>
            <w:div w:id="1465272047">
              <w:marLeft w:val="0"/>
              <w:marRight w:val="0"/>
              <w:marTop w:val="0"/>
              <w:marBottom w:val="0"/>
              <w:divBdr>
                <w:top w:val="none" w:sz="0" w:space="0" w:color="auto"/>
                <w:left w:val="none" w:sz="0" w:space="0" w:color="auto"/>
                <w:bottom w:val="none" w:sz="0" w:space="0" w:color="auto"/>
                <w:right w:val="none" w:sz="0" w:space="0" w:color="auto"/>
              </w:divBdr>
            </w:div>
          </w:divsChild>
        </w:div>
        <w:div w:id="2104063349">
          <w:marLeft w:val="0"/>
          <w:marRight w:val="0"/>
          <w:marTop w:val="0"/>
          <w:marBottom w:val="0"/>
          <w:divBdr>
            <w:top w:val="none" w:sz="0" w:space="0" w:color="auto"/>
            <w:left w:val="none" w:sz="0" w:space="0" w:color="auto"/>
            <w:bottom w:val="none" w:sz="0" w:space="0" w:color="auto"/>
            <w:right w:val="none" w:sz="0" w:space="0" w:color="auto"/>
          </w:divBdr>
          <w:divsChild>
            <w:div w:id="1380016001">
              <w:marLeft w:val="0"/>
              <w:marRight w:val="0"/>
              <w:marTop w:val="0"/>
              <w:marBottom w:val="0"/>
              <w:divBdr>
                <w:top w:val="none" w:sz="0" w:space="0" w:color="auto"/>
                <w:left w:val="none" w:sz="0" w:space="0" w:color="auto"/>
                <w:bottom w:val="none" w:sz="0" w:space="0" w:color="auto"/>
                <w:right w:val="none" w:sz="0" w:space="0" w:color="auto"/>
              </w:divBdr>
              <w:divsChild>
                <w:div w:id="200404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8218">
      <w:bodyDiv w:val="1"/>
      <w:marLeft w:val="0"/>
      <w:marRight w:val="0"/>
      <w:marTop w:val="0"/>
      <w:marBottom w:val="0"/>
      <w:divBdr>
        <w:top w:val="none" w:sz="0" w:space="0" w:color="auto"/>
        <w:left w:val="none" w:sz="0" w:space="0" w:color="auto"/>
        <w:bottom w:val="none" w:sz="0" w:space="0" w:color="auto"/>
        <w:right w:val="none" w:sz="0" w:space="0" w:color="auto"/>
      </w:divBdr>
      <w:divsChild>
        <w:div w:id="1104568386">
          <w:marLeft w:val="0"/>
          <w:marRight w:val="0"/>
          <w:marTop w:val="0"/>
          <w:marBottom w:val="0"/>
          <w:divBdr>
            <w:top w:val="none" w:sz="0" w:space="0" w:color="auto"/>
            <w:left w:val="none" w:sz="0" w:space="0" w:color="auto"/>
            <w:bottom w:val="none" w:sz="0" w:space="0" w:color="auto"/>
            <w:right w:val="none" w:sz="0" w:space="0" w:color="auto"/>
          </w:divBdr>
        </w:div>
        <w:div w:id="1747220536">
          <w:marLeft w:val="0"/>
          <w:marRight w:val="0"/>
          <w:marTop w:val="0"/>
          <w:marBottom w:val="0"/>
          <w:divBdr>
            <w:top w:val="none" w:sz="0" w:space="0" w:color="auto"/>
            <w:left w:val="none" w:sz="0" w:space="0" w:color="auto"/>
            <w:bottom w:val="none" w:sz="0" w:space="0" w:color="auto"/>
            <w:right w:val="none" w:sz="0" w:space="0" w:color="auto"/>
          </w:divBdr>
        </w:div>
      </w:divsChild>
    </w:div>
    <w:div w:id="775490307">
      <w:bodyDiv w:val="1"/>
      <w:marLeft w:val="0"/>
      <w:marRight w:val="0"/>
      <w:marTop w:val="0"/>
      <w:marBottom w:val="0"/>
      <w:divBdr>
        <w:top w:val="none" w:sz="0" w:space="0" w:color="auto"/>
        <w:left w:val="none" w:sz="0" w:space="0" w:color="auto"/>
        <w:bottom w:val="none" w:sz="0" w:space="0" w:color="auto"/>
        <w:right w:val="none" w:sz="0" w:space="0" w:color="auto"/>
      </w:divBdr>
      <w:divsChild>
        <w:div w:id="164367575">
          <w:marLeft w:val="0"/>
          <w:marRight w:val="0"/>
          <w:marTop w:val="0"/>
          <w:marBottom w:val="0"/>
          <w:divBdr>
            <w:top w:val="none" w:sz="0" w:space="0" w:color="auto"/>
            <w:left w:val="none" w:sz="0" w:space="0" w:color="auto"/>
            <w:bottom w:val="none" w:sz="0" w:space="0" w:color="auto"/>
            <w:right w:val="none" w:sz="0" w:space="0" w:color="auto"/>
          </w:divBdr>
          <w:divsChild>
            <w:div w:id="1164706155">
              <w:marLeft w:val="0"/>
              <w:marRight w:val="0"/>
              <w:marTop w:val="0"/>
              <w:marBottom w:val="0"/>
              <w:divBdr>
                <w:top w:val="none" w:sz="0" w:space="0" w:color="auto"/>
                <w:left w:val="none" w:sz="0" w:space="0" w:color="auto"/>
                <w:bottom w:val="none" w:sz="0" w:space="0" w:color="auto"/>
                <w:right w:val="none" w:sz="0" w:space="0" w:color="auto"/>
              </w:divBdr>
              <w:divsChild>
                <w:div w:id="1378625197">
                  <w:marLeft w:val="0"/>
                  <w:marRight w:val="0"/>
                  <w:marTop w:val="0"/>
                  <w:marBottom w:val="0"/>
                  <w:divBdr>
                    <w:top w:val="none" w:sz="0" w:space="0" w:color="auto"/>
                    <w:left w:val="none" w:sz="0" w:space="0" w:color="auto"/>
                    <w:bottom w:val="none" w:sz="0" w:space="0" w:color="auto"/>
                    <w:right w:val="none" w:sz="0" w:space="0" w:color="auto"/>
                  </w:divBdr>
                </w:div>
              </w:divsChild>
            </w:div>
            <w:div w:id="185430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554655">
      <w:bodyDiv w:val="1"/>
      <w:marLeft w:val="0"/>
      <w:marRight w:val="0"/>
      <w:marTop w:val="0"/>
      <w:marBottom w:val="0"/>
      <w:divBdr>
        <w:top w:val="none" w:sz="0" w:space="0" w:color="auto"/>
        <w:left w:val="none" w:sz="0" w:space="0" w:color="auto"/>
        <w:bottom w:val="none" w:sz="0" w:space="0" w:color="auto"/>
        <w:right w:val="none" w:sz="0" w:space="0" w:color="auto"/>
      </w:divBdr>
    </w:div>
    <w:div w:id="788940796">
      <w:bodyDiv w:val="1"/>
      <w:marLeft w:val="0"/>
      <w:marRight w:val="0"/>
      <w:marTop w:val="0"/>
      <w:marBottom w:val="0"/>
      <w:divBdr>
        <w:top w:val="none" w:sz="0" w:space="0" w:color="auto"/>
        <w:left w:val="none" w:sz="0" w:space="0" w:color="auto"/>
        <w:bottom w:val="none" w:sz="0" w:space="0" w:color="auto"/>
        <w:right w:val="none" w:sz="0" w:space="0" w:color="auto"/>
      </w:divBdr>
      <w:divsChild>
        <w:div w:id="1762683627">
          <w:marLeft w:val="0"/>
          <w:marRight w:val="0"/>
          <w:marTop w:val="0"/>
          <w:marBottom w:val="0"/>
          <w:divBdr>
            <w:top w:val="none" w:sz="0" w:space="0" w:color="auto"/>
            <w:left w:val="none" w:sz="0" w:space="0" w:color="auto"/>
            <w:bottom w:val="none" w:sz="0" w:space="0" w:color="auto"/>
            <w:right w:val="none" w:sz="0" w:space="0" w:color="auto"/>
          </w:divBdr>
        </w:div>
        <w:div w:id="1349914486">
          <w:marLeft w:val="0"/>
          <w:marRight w:val="0"/>
          <w:marTop w:val="0"/>
          <w:marBottom w:val="0"/>
          <w:divBdr>
            <w:top w:val="none" w:sz="0" w:space="0" w:color="auto"/>
            <w:left w:val="none" w:sz="0" w:space="0" w:color="auto"/>
            <w:bottom w:val="none" w:sz="0" w:space="0" w:color="auto"/>
            <w:right w:val="none" w:sz="0" w:space="0" w:color="auto"/>
          </w:divBdr>
        </w:div>
        <w:div w:id="853500859">
          <w:marLeft w:val="0"/>
          <w:marRight w:val="0"/>
          <w:marTop w:val="0"/>
          <w:marBottom w:val="0"/>
          <w:divBdr>
            <w:top w:val="none" w:sz="0" w:space="0" w:color="auto"/>
            <w:left w:val="none" w:sz="0" w:space="0" w:color="auto"/>
            <w:bottom w:val="none" w:sz="0" w:space="0" w:color="auto"/>
            <w:right w:val="none" w:sz="0" w:space="0" w:color="auto"/>
          </w:divBdr>
        </w:div>
        <w:div w:id="835611585">
          <w:marLeft w:val="0"/>
          <w:marRight w:val="0"/>
          <w:marTop w:val="0"/>
          <w:marBottom w:val="0"/>
          <w:divBdr>
            <w:top w:val="none" w:sz="0" w:space="0" w:color="auto"/>
            <w:left w:val="none" w:sz="0" w:space="0" w:color="auto"/>
            <w:bottom w:val="none" w:sz="0" w:space="0" w:color="auto"/>
            <w:right w:val="none" w:sz="0" w:space="0" w:color="auto"/>
          </w:divBdr>
        </w:div>
        <w:div w:id="1714041940">
          <w:marLeft w:val="0"/>
          <w:marRight w:val="0"/>
          <w:marTop w:val="0"/>
          <w:marBottom w:val="0"/>
          <w:divBdr>
            <w:top w:val="none" w:sz="0" w:space="0" w:color="auto"/>
            <w:left w:val="none" w:sz="0" w:space="0" w:color="auto"/>
            <w:bottom w:val="none" w:sz="0" w:space="0" w:color="auto"/>
            <w:right w:val="none" w:sz="0" w:space="0" w:color="auto"/>
          </w:divBdr>
        </w:div>
        <w:div w:id="592250991">
          <w:marLeft w:val="0"/>
          <w:marRight w:val="0"/>
          <w:marTop w:val="0"/>
          <w:marBottom w:val="0"/>
          <w:divBdr>
            <w:top w:val="none" w:sz="0" w:space="0" w:color="auto"/>
            <w:left w:val="none" w:sz="0" w:space="0" w:color="auto"/>
            <w:bottom w:val="none" w:sz="0" w:space="0" w:color="auto"/>
            <w:right w:val="none" w:sz="0" w:space="0" w:color="auto"/>
          </w:divBdr>
        </w:div>
        <w:div w:id="73821057">
          <w:marLeft w:val="0"/>
          <w:marRight w:val="0"/>
          <w:marTop w:val="0"/>
          <w:marBottom w:val="0"/>
          <w:divBdr>
            <w:top w:val="none" w:sz="0" w:space="0" w:color="auto"/>
            <w:left w:val="none" w:sz="0" w:space="0" w:color="auto"/>
            <w:bottom w:val="none" w:sz="0" w:space="0" w:color="auto"/>
            <w:right w:val="none" w:sz="0" w:space="0" w:color="auto"/>
          </w:divBdr>
        </w:div>
        <w:div w:id="1624773523">
          <w:marLeft w:val="0"/>
          <w:marRight w:val="0"/>
          <w:marTop w:val="0"/>
          <w:marBottom w:val="0"/>
          <w:divBdr>
            <w:top w:val="none" w:sz="0" w:space="0" w:color="auto"/>
            <w:left w:val="none" w:sz="0" w:space="0" w:color="auto"/>
            <w:bottom w:val="none" w:sz="0" w:space="0" w:color="auto"/>
            <w:right w:val="none" w:sz="0" w:space="0" w:color="auto"/>
          </w:divBdr>
        </w:div>
        <w:div w:id="1860702555">
          <w:marLeft w:val="0"/>
          <w:marRight w:val="0"/>
          <w:marTop w:val="0"/>
          <w:marBottom w:val="0"/>
          <w:divBdr>
            <w:top w:val="none" w:sz="0" w:space="0" w:color="auto"/>
            <w:left w:val="none" w:sz="0" w:space="0" w:color="auto"/>
            <w:bottom w:val="none" w:sz="0" w:space="0" w:color="auto"/>
            <w:right w:val="none" w:sz="0" w:space="0" w:color="auto"/>
          </w:divBdr>
        </w:div>
        <w:div w:id="1733579227">
          <w:marLeft w:val="0"/>
          <w:marRight w:val="0"/>
          <w:marTop w:val="0"/>
          <w:marBottom w:val="0"/>
          <w:divBdr>
            <w:top w:val="none" w:sz="0" w:space="0" w:color="auto"/>
            <w:left w:val="none" w:sz="0" w:space="0" w:color="auto"/>
            <w:bottom w:val="none" w:sz="0" w:space="0" w:color="auto"/>
            <w:right w:val="none" w:sz="0" w:space="0" w:color="auto"/>
          </w:divBdr>
        </w:div>
        <w:div w:id="1328828343">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790901008">
      <w:bodyDiv w:val="1"/>
      <w:marLeft w:val="0"/>
      <w:marRight w:val="0"/>
      <w:marTop w:val="0"/>
      <w:marBottom w:val="0"/>
      <w:divBdr>
        <w:top w:val="none" w:sz="0" w:space="0" w:color="auto"/>
        <w:left w:val="none" w:sz="0" w:space="0" w:color="auto"/>
        <w:bottom w:val="none" w:sz="0" w:space="0" w:color="auto"/>
        <w:right w:val="none" w:sz="0" w:space="0" w:color="auto"/>
      </w:divBdr>
      <w:divsChild>
        <w:div w:id="1385714361">
          <w:marLeft w:val="0"/>
          <w:marRight w:val="0"/>
          <w:marTop w:val="0"/>
          <w:marBottom w:val="0"/>
          <w:divBdr>
            <w:top w:val="none" w:sz="0" w:space="0" w:color="auto"/>
            <w:left w:val="none" w:sz="0" w:space="0" w:color="auto"/>
            <w:bottom w:val="none" w:sz="0" w:space="0" w:color="auto"/>
            <w:right w:val="none" w:sz="0" w:space="0" w:color="auto"/>
          </w:divBdr>
          <w:divsChild>
            <w:div w:id="206204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32452535">
      <w:bodyDiv w:val="1"/>
      <w:marLeft w:val="0"/>
      <w:marRight w:val="0"/>
      <w:marTop w:val="0"/>
      <w:marBottom w:val="0"/>
      <w:divBdr>
        <w:top w:val="none" w:sz="0" w:space="0" w:color="auto"/>
        <w:left w:val="none" w:sz="0" w:space="0" w:color="auto"/>
        <w:bottom w:val="none" w:sz="0" w:space="0" w:color="auto"/>
        <w:right w:val="none" w:sz="0" w:space="0" w:color="auto"/>
      </w:divBdr>
    </w:div>
    <w:div w:id="857619857">
      <w:bodyDiv w:val="1"/>
      <w:marLeft w:val="0"/>
      <w:marRight w:val="0"/>
      <w:marTop w:val="0"/>
      <w:marBottom w:val="0"/>
      <w:divBdr>
        <w:top w:val="none" w:sz="0" w:space="0" w:color="auto"/>
        <w:left w:val="none" w:sz="0" w:space="0" w:color="auto"/>
        <w:bottom w:val="none" w:sz="0" w:space="0" w:color="auto"/>
        <w:right w:val="none" w:sz="0" w:space="0" w:color="auto"/>
      </w:divBdr>
      <w:divsChild>
        <w:div w:id="2105420434">
          <w:marLeft w:val="0"/>
          <w:marRight w:val="0"/>
          <w:marTop w:val="0"/>
          <w:marBottom w:val="0"/>
          <w:divBdr>
            <w:top w:val="none" w:sz="0" w:space="0" w:color="auto"/>
            <w:left w:val="none" w:sz="0" w:space="0" w:color="auto"/>
            <w:bottom w:val="none" w:sz="0" w:space="0" w:color="auto"/>
            <w:right w:val="none" w:sz="0" w:space="0" w:color="auto"/>
          </w:divBdr>
        </w:div>
        <w:div w:id="1124075625">
          <w:marLeft w:val="0"/>
          <w:marRight w:val="0"/>
          <w:marTop w:val="0"/>
          <w:marBottom w:val="0"/>
          <w:divBdr>
            <w:top w:val="none" w:sz="0" w:space="0" w:color="auto"/>
            <w:left w:val="none" w:sz="0" w:space="0" w:color="auto"/>
            <w:bottom w:val="none" w:sz="0" w:space="0" w:color="auto"/>
            <w:right w:val="none" w:sz="0" w:space="0" w:color="auto"/>
          </w:divBdr>
          <w:divsChild>
            <w:div w:id="581837811">
              <w:marLeft w:val="0"/>
              <w:marRight w:val="0"/>
              <w:marTop w:val="0"/>
              <w:marBottom w:val="0"/>
              <w:divBdr>
                <w:top w:val="none" w:sz="0" w:space="0" w:color="auto"/>
                <w:left w:val="none" w:sz="0" w:space="0" w:color="auto"/>
                <w:bottom w:val="none" w:sz="0" w:space="0" w:color="auto"/>
                <w:right w:val="none" w:sz="0" w:space="0" w:color="auto"/>
              </w:divBdr>
              <w:divsChild>
                <w:div w:id="160603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65602917">
      <w:bodyDiv w:val="1"/>
      <w:marLeft w:val="0"/>
      <w:marRight w:val="0"/>
      <w:marTop w:val="0"/>
      <w:marBottom w:val="0"/>
      <w:divBdr>
        <w:top w:val="none" w:sz="0" w:space="0" w:color="auto"/>
        <w:left w:val="none" w:sz="0" w:space="0" w:color="auto"/>
        <w:bottom w:val="none" w:sz="0" w:space="0" w:color="auto"/>
        <w:right w:val="none" w:sz="0" w:space="0" w:color="auto"/>
      </w:divBdr>
      <w:divsChild>
        <w:div w:id="523398953">
          <w:marLeft w:val="0"/>
          <w:marRight w:val="0"/>
          <w:marTop w:val="0"/>
          <w:marBottom w:val="0"/>
          <w:divBdr>
            <w:top w:val="none" w:sz="0" w:space="0" w:color="auto"/>
            <w:left w:val="none" w:sz="0" w:space="0" w:color="auto"/>
            <w:bottom w:val="none" w:sz="0" w:space="0" w:color="auto"/>
            <w:right w:val="none" w:sz="0" w:space="0" w:color="auto"/>
          </w:divBdr>
        </w:div>
      </w:divsChild>
    </w:div>
    <w:div w:id="867983271">
      <w:bodyDiv w:val="1"/>
      <w:marLeft w:val="0"/>
      <w:marRight w:val="0"/>
      <w:marTop w:val="0"/>
      <w:marBottom w:val="0"/>
      <w:divBdr>
        <w:top w:val="none" w:sz="0" w:space="0" w:color="auto"/>
        <w:left w:val="none" w:sz="0" w:space="0" w:color="auto"/>
        <w:bottom w:val="none" w:sz="0" w:space="0" w:color="auto"/>
        <w:right w:val="none" w:sz="0" w:space="0" w:color="auto"/>
      </w:divBdr>
    </w:div>
    <w:div w:id="875586986">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905265883">
      <w:bodyDiv w:val="1"/>
      <w:marLeft w:val="0"/>
      <w:marRight w:val="0"/>
      <w:marTop w:val="0"/>
      <w:marBottom w:val="0"/>
      <w:divBdr>
        <w:top w:val="none" w:sz="0" w:space="0" w:color="auto"/>
        <w:left w:val="none" w:sz="0" w:space="0" w:color="auto"/>
        <w:bottom w:val="none" w:sz="0" w:space="0" w:color="auto"/>
        <w:right w:val="none" w:sz="0" w:space="0" w:color="auto"/>
      </w:divBdr>
      <w:divsChild>
        <w:div w:id="19698182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3770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4410083">
      <w:bodyDiv w:val="1"/>
      <w:marLeft w:val="0"/>
      <w:marRight w:val="0"/>
      <w:marTop w:val="0"/>
      <w:marBottom w:val="0"/>
      <w:divBdr>
        <w:top w:val="none" w:sz="0" w:space="0" w:color="auto"/>
        <w:left w:val="none" w:sz="0" w:space="0" w:color="auto"/>
        <w:bottom w:val="none" w:sz="0" w:space="0" w:color="auto"/>
        <w:right w:val="none" w:sz="0" w:space="0" w:color="auto"/>
      </w:divBdr>
      <w:divsChild>
        <w:div w:id="793521291">
          <w:marLeft w:val="0"/>
          <w:marRight w:val="0"/>
          <w:marTop w:val="0"/>
          <w:marBottom w:val="0"/>
          <w:divBdr>
            <w:top w:val="none" w:sz="0" w:space="0" w:color="auto"/>
            <w:left w:val="none" w:sz="0" w:space="0" w:color="auto"/>
            <w:bottom w:val="none" w:sz="0" w:space="0" w:color="auto"/>
            <w:right w:val="none" w:sz="0" w:space="0" w:color="auto"/>
          </w:divBdr>
        </w:div>
        <w:div w:id="1602687442">
          <w:marLeft w:val="0"/>
          <w:marRight w:val="0"/>
          <w:marTop w:val="0"/>
          <w:marBottom w:val="0"/>
          <w:divBdr>
            <w:top w:val="none" w:sz="0" w:space="0" w:color="auto"/>
            <w:left w:val="none" w:sz="0" w:space="0" w:color="auto"/>
            <w:bottom w:val="none" w:sz="0" w:space="0" w:color="auto"/>
            <w:right w:val="none" w:sz="0" w:space="0" w:color="auto"/>
          </w:divBdr>
        </w:div>
        <w:div w:id="885290354">
          <w:marLeft w:val="0"/>
          <w:marRight w:val="0"/>
          <w:marTop w:val="0"/>
          <w:marBottom w:val="0"/>
          <w:divBdr>
            <w:top w:val="none" w:sz="0" w:space="0" w:color="auto"/>
            <w:left w:val="none" w:sz="0" w:space="0" w:color="auto"/>
            <w:bottom w:val="none" w:sz="0" w:space="0" w:color="auto"/>
            <w:right w:val="none" w:sz="0" w:space="0" w:color="auto"/>
          </w:divBdr>
        </w:div>
      </w:divsChild>
    </w:div>
    <w:div w:id="977029013">
      <w:bodyDiv w:val="1"/>
      <w:marLeft w:val="0"/>
      <w:marRight w:val="0"/>
      <w:marTop w:val="0"/>
      <w:marBottom w:val="0"/>
      <w:divBdr>
        <w:top w:val="none" w:sz="0" w:space="0" w:color="auto"/>
        <w:left w:val="none" w:sz="0" w:space="0" w:color="auto"/>
        <w:bottom w:val="none" w:sz="0" w:space="0" w:color="auto"/>
        <w:right w:val="none" w:sz="0" w:space="0" w:color="auto"/>
      </w:divBdr>
      <w:divsChild>
        <w:div w:id="661663651">
          <w:marLeft w:val="0"/>
          <w:marRight w:val="0"/>
          <w:marTop w:val="0"/>
          <w:marBottom w:val="0"/>
          <w:divBdr>
            <w:top w:val="none" w:sz="0" w:space="0" w:color="auto"/>
            <w:left w:val="none" w:sz="0" w:space="0" w:color="auto"/>
            <w:bottom w:val="none" w:sz="0" w:space="0" w:color="auto"/>
            <w:right w:val="none" w:sz="0" w:space="0" w:color="auto"/>
          </w:divBdr>
          <w:divsChild>
            <w:div w:id="861360178">
              <w:marLeft w:val="0"/>
              <w:marRight w:val="0"/>
              <w:marTop w:val="0"/>
              <w:marBottom w:val="0"/>
              <w:divBdr>
                <w:top w:val="none" w:sz="0" w:space="0" w:color="auto"/>
                <w:left w:val="none" w:sz="0" w:space="0" w:color="auto"/>
                <w:bottom w:val="none" w:sz="0" w:space="0" w:color="auto"/>
                <w:right w:val="none" w:sz="0" w:space="0" w:color="auto"/>
              </w:divBdr>
              <w:divsChild>
                <w:div w:id="1838685487">
                  <w:marLeft w:val="0"/>
                  <w:marRight w:val="0"/>
                  <w:marTop w:val="0"/>
                  <w:marBottom w:val="0"/>
                  <w:divBdr>
                    <w:top w:val="none" w:sz="0" w:space="0" w:color="auto"/>
                    <w:left w:val="none" w:sz="0" w:space="0" w:color="auto"/>
                    <w:bottom w:val="none" w:sz="0" w:space="0" w:color="auto"/>
                    <w:right w:val="none" w:sz="0" w:space="0" w:color="auto"/>
                  </w:divBdr>
                </w:div>
                <w:div w:id="1834494163">
                  <w:marLeft w:val="0"/>
                  <w:marRight w:val="0"/>
                  <w:marTop w:val="0"/>
                  <w:marBottom w:val="0"/>
                  <w:divBdr>
                    <w:top w:val="none" w:sz="0" w:space="0" w:color="auto"/>
                    <w:left w:val="none" w:sz="0" w:space="0" w:color="auto"/>
                    <w:bottom w:val="none" w:sz="0" w:space="0" w:color="auto"/>
                    <w:right w:val="none" w:sz="0" w:space="0" w:color="auto"/>
                  </w:divBdr>
                  <w:divsChild>
                    <w:div w:id="940793478">
                      <w:marLeft w:val="0"/>
                      <w:marRight w:val="0"/>
                      <w:marTop w:val="0"/>
                      <w:marBottom w:val="0"/>
                      <w:divBdr>
                        <w:top w:val="none" w:sz="0" w:space="0" w:color="auto"/>
                        <w:left w:val="none" w:sz="0" w:space="0" w:color="auto"/>
                        <w:bottom w:val="none" w:sz="0" w:space="0" w:color="auto"/>
                        <w:right w:val="none" w:sz="0" w:space="0" w:color="auto"/>
                      </w:divBdr>
                      <w:divsChild>
                        <w:div w:id="1853378260">
                          <w:marLeft w:val="0"/>
                          <w:marRight w:val="0"/>
                          <w:marTop w:val="0"/>
                          <w:marBottom w:val="0"/>
                          <w:divBdr>
                            <w:top w:val="none" w:sz="0" w:space="0" w:color="auto"/>
                            <w:left w:val="none" w:sz="0" w:space="0" w:color="auto"/>
                            <w:bottom w:val="none" w:sz="0" w:space="0" w:color="auto"/>
                            <w:right w:val="none" w:sz="0" w:space="0" w:color="auto"/>
                          </w:divBdr>
                          <w:divsChild>
                            <w:div w:id="922881932">
                              <w:marLeft w:val="0"/>
                              <w:marRight w:val="0"/>
                              <w:marTop w:val="0"/>
                              <w:marBottom w:val="0"/>
                              <w:divBdr>
                                <w:top w:val="none" w:sz="0" w:space="0" w:color="auto"/>
                                <w:left w:val="none" w:sz="0" w:space="0" w:color="auto"/>
                                <w:bottom w:val="none" w:sz="0" w:space="0" w:color="auto"/>
                                <w:right w:val="none" w:sz="0" w:space="0" w:color="auto"/>
                              </w:divBdr>
                            </w:div>
                            <w:div w:id="17527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2978118">
          <w:marLeft w:val="0"/>
          <w:marRight w:val="0"/>
          <w:marTop w:val="0"/>
          <w:marBottom w:val="0"/>
          <w:divBdr>
            <w:top w:val="none" w:sz="0" w:space="0" w:color="auto"/>
            <w:left w:val="none" w:sz="0" w:space="0" w:color="auto"/>
            <w:bottom w:val="none" w:sz="0" w:space="0" w:color="auto"/>
            <w:right w:val="none" w:sz="0" w:space="0" w:color="auto"/>
          </w:divBdr>
          <w:divsChild>
            <w:div w:id="1291783734">
              <w:marLeft w:val="0"/>
              <w:marRight w:val="0"/>
              <w:marTop w:val="0"/>
              <w:marBottom w:val="0"/>
              <w:divBdr>
                <w:top w:val="none" w:sz="0" w:space="0" w:color="auto"/>
                <w:left w:val="none" w:sz="0" w:space="0" w:color="auto"/>
                <w:bottom w:val="none" w:sz="0" w:space="0" w:color="auto"/>
                <w:right w:val="none" w:sz="0" w:space="0" w:color="auto"/>
              </w:divBdr>
              <w:divsChild>
                <w:div w:id="271208301">
                  <w:marLeft w:val="0"/>
                  <w:marRight w:val="0"/>
                  <w:marTop w:val="0"/>
                  <w:marBottom w:val="0"/>
                  <w:divBdr>
                    <w:top w:val="none" w:sz="0" w:space="0" w:color="auto"/>
                    <w:left w:val="none" w:sz="0" w:space="0" w:color="auto"/>
                    <w:bottom w:val="none" w:sz="0" w:space="0" w:color="auto"/>
                    <w:right w:val="none" w:sz="0" w:space="0" w:color="auto"/>
                  </w:divBdr>
                </w:div>
                <w:div w:id="899752314">
                  <w:marLeft w:val="0"/>
                  <w:marRight w:val="0"/>
                  <w:marTop w:val="0"/>
                  <w:marBottom w:val="0"/>
                  <w:divBdr>
                    <w:top w:val="none" w:sz="0" w:space="0" w:color="auto"/>
                    <w:left w:val="none" w:sz="0" w:space="0" w:color="auto"/>
                    <w:bottom w:val="none" w:sz="0" w:space="0" w:color="auto"/>
                    <w:right w:val="none" w:sz="0" w:space="0" w:color="auto"/>
                  </w:divBdr>
                  <w:divsChild>
                    <w:div w:id="167185263">
                      <w:marLeft w:val="0"/>
                      <w:marRight w:val="0"/>
                      <w:marTop w:val="0"/>
                      <w:marBottom w:val="0"/>
                      <w:divBdr>
                        <w:top w:val="none" w:sz="0" w:space="0" w:color="auto"/>
                        <w:left w:val="none" w:sz="0" w:space="0" w:color="auto"/>
                        <w:bottom w:val="none" w:sz="0" w:space="0" w:color="auto"/>
                        <w:right w:val="none" w:sz="0" w:space="0" w:color="auto"/>
                      </w:divBdr>
                      <w:divsChild>
                        <w:div w:id="1067148449">
                          <w:marLeft w:val="0"/>
                          <w:marRight w:val="0"/>
                          <w:marTop w:val="0"/>
                          <w:marBottom w:val="0"/>
                          <w:divBdr>
                            <w:top w:val="none" w:sz="0" w:space="0" w:color="auto"/>
                            <w:left w:val="none" w:sz="0" w:space="0" w:color="auto"/>
                            <w:bottom w:val="none" w:sz="0" w:space="0" w:color="auto"/>
                            <w:right w:val="none" w:sz="0" w:space="0" w:color="auto"/>
                          </w:divBdr>
                          <w:divsChild>
                            <w:div w:id="444616375">
                              <w:marLeft w:val="0"/>
                              <w:marRight w:val="0"/>
                              <w:marTop w:val="0"/>
                              <w:marBottom w:val="0"/>
                              <w:divBdr>
                                <w:top w:val="none" w:sz="0" w:space="0" w:color="auto"/>
                                <w:left w:val="none" w:sz="0" w:space="0" w:color="auto"/>
                                <w:bottom w:val="none" w:sz="0" w:space="0" w:color="auto"/>
                                <w:right w:val="none" w:sz="0" w:space="0" w:color="auto"/>
                              </w:divBdr>
                            </w:div>
                            <w:div w:id="142862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04591">
      <w:bodyDiv w:val="1"/>
      <w:marLeft w:val="0"/>
      <w:marRight w:val="0"/>
      <w:marTop w:val="0"/>
      <w:marBottom w:val="0"/>
      <w:divBdr>
        <w:top w:val="none" w:sz="0" w:space="0" w:color="auto"/>
        <w:left w:val="none" w:sz="0" w:space="0" w:color="auto"/>
        <w:bottom w:val="none" w:sz="0" w:space="0" w:color="auto"/>
        <w:right w:val="none" w:sz="0" w:space="0" w:color="auto"/>
      </w:divBdr>
    </w:div>
    <w:div w:id="1015811746">
      <w:bodyDiv w:val="1"/>
      <w:marLeft w:val="0"/>
      <w:marRight w:val="0"/>
      <w:marTop w:val="0"/>
      <w:marBottom w:val="0"/>
      <w:divBdr>
        <w:top w:val="none" w:sz="0" w:space="0" w:color="auto"/>
        <w:left w:val="none" w:sz="0" w:space="0" w:color="auto"/>
        <w:bottom w:val="none" w:sz="0" w:space="0" w:color="auto"/>
        <w:right w:val="none" w:sz="0" w:space="0" w:color="auto"/>
      </w:divBdr>
    </w:div>
    <w:div w:id="1022780347">
      <w:bodyDiv w:val="1"/>
      <w:marLeft w:val="0"/>
      <w:marRight w:val="0"/>
      <w:marTop w:val="0"/>
      <w:marBottom w:val="0"/>
      <w:divBdr>
        <w:top w:val="none" w:sz="0" w:space="0" w:color="auto"/>
        <w:left w:val="none" w:sz="0" w:space="0" w:color="auto"/>
        <w:bottom w:val="none" w:sz="0" w:space="0" w:color="auto"/>
        <w:right w:val="none" w:sz="0" w:space="0" w:color="auto"/>
      </w:divBdr>
    </w:div>
    <w:div w:id="1029406691">
      <w:bodyDiv w:val="1"/>
      <w:marLeft w:val="0"/>
      <w:marRight w:val="0"/>
      <w:marTop w:val="0"/>
      <w:marBottom w:val="0"/>
      <w:divBdr>
        <w:top w:val="none" w:sz="0" w:space="0" w:color="auto"/>
        <w:left w:val="none" w:sz="0" w:space="0" w:color="auto"/>
        <w:bottom w:val="none" w:sz="0" w:space="0" w:color="auto"/>
        <w:right w:val="none" w:sz="0" w:space="0" w:color="auto"/>
      </w:divBdr>
    </w:div>
    <w:div w:id="1044135797">
      <w:bodyDiv w:val="1"/>
      <w:marLeft w:val="0"/>
      <w:marRight w:val="0"/>
      <w:marTop w:val="0"/>
      <w:marBottom w:val="0"/>
      <w:divBdr>
        <w:top w:val="none" w:sz="0" w:space="0" w:color="auto"/>
        <w:left w:val="none" w:sz="0" w:space="0" w:color="auto"/>
        <w:bottom w:val="none" w:sz="0" w:space="0" w:color="auto"/>
        <w:right w:val="none" w:sz="0" w:space="0" w:color="auto"/>
      </w:divBdr>
    </w:div>
    <w:div w:id="1058746661">
      <w:bodyDiv w:val="1"/>
      <w:marLeft w:val="0"/>
      <w:marRight w:val="0"/>
      <w:marTop w:val="0"/>
      <w:marBottom w:val="0"/>
      <w:divBdr>
        <w:top w:val="none" w:sz="0" w:space="0" w:color="auto"/>
        <w:left w:val="none" w:sz="0" w:space="0" w:color="auto"/>
        <w:bottom w:val="none" w:sz="0" w:space="0" w:color="auto"/>
        <w:right w:val="none" w:sz="0" w:space="0" w:color="auto"/>
      </w:divBdr>
      <w:divsChild>
        <w:div w:id="184291720">
          <w:marLeft w:val="0"/>
          <w:marRight w:val="0"/>
          <w:marTop w:val="0"/>
          <w:marBottom w:val="0"/>
          <w:divBdr>
            <w:top w:val="none" w:sz="0" w:space="0" w:color="auto"/>
            <w:left w:val="none" w:sz="0" w:space="0" w:color="auto"/>
            <w:bottom w:val="none" w:sz="0" w:space="0" w:color="auto"/>
            <w:right w:val="none" w:sz="0" w:space="0" w:color="auto"/>
          </w:divBdr>
        </w:div>
        <w:div w:id="787117326">
          <w:marLeft w:val="0"/>
          <w:marRight w:val="0"/>
          <w:marTop w:val="0"/>
          <w:marBottom w:val="0"/>
          <w:divBdr>
            <w:top w:val="none" w:sz="0" w:space="0" w:color="auto"/>
            <w:left w:val="none" w:sz="0" w:space="0" w:color="auto"/>
            <w:bottom w:val="none" w:sz="0" w:space="0" w:color="auto"/>
            <w:right w:val="none" w:sz="0" w:space="0" w:color="auto"/>
          </w:divBdr>
          <w:divsChild>
            <w:div w:id="1043095877">
              <w:marLeft w:val="0"/>
              <w:marRight w:val="0"/>
              <w:marTop w:val="0"/>
              <w:marBottom w:val="0"/>
              <w:divBdr>
                <w:top w:val="none" w:sz="0" w:space="0" w:color="auto"/>
                <w:left w:val="none" w:sz="0" w:space="0" w:color="auto"/>
                <w:bottom w:val="none" w:sz="0" w:space="0" w:color="auto"/>
                <w:right w:val="none" w:sz="0" w:space="0" w:color="auto"/>
              </w:divBdr>
              <w:divsChild>
                <w:div w:id="152837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56826">
      <w:bodyDiv w:val="1"/>
      <w:marLeft w:val="0"/>
      <w:marRight w:val="0"/>
      <w:marTop w:val="0"/>
      <w:marBottom w:val="0"/>
      <w:divBdr>
        <w:top w:val="none" w:sz="0" w:space="0" w:color="auto"/>
        <w:left w:val="none" w:sz="0" w:space="0" w:color="auto"/>
        <w:bottom w:val="none" w:sz="0" w:space="0" w:color="auto"/>
        <w:right w:val="none" w:sz="0" w:space="0" w:color="auto"/>
      </w:divBdr>
    </w:div>
    <w:div w:id="11148589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215">
          <w:marLeft w:val="0"/>
          <w:marRight w:val="0"/>
          <w:marTop w:val="0"/>
          <w:marBottom w:val="0"/>
          <w:divBdr>
            <w:top w:val="none" w:sz="0" w:space="0" w:color="auto"/>
            <w:left w:val="none" w:sz="0" w:space="0" w:color="auto"/>
            <w:bottom w:val="none" w:sz="0" w:space="0" w:color="auto"/>
            <w:right w:val="none" w:sz="0" w:space="0" w:color="auto"/>
          </w:divBdr>
        </w:div>
      </w:divsChild>
    </w:div>
    <w:div w:id="1120226275">
      <w:bodyDiv w:val="1"/>
      <w:marLeft w:val="0"/>
      <w:marRight w:val="0"/>
      <w:marTop w:val="0"/>
      <w:marBottom w:val="0"/>
      <w:divBdr>
        <w:top w:val="none" w:sz="0" w:space="0" w:color="auto"/>
        <w:left w:val="none" w:sz="0" w:space="0" w:color="auto"/>
        <w:bottom w:val="none" w:sz="0" w:space="0" w:color="auto"/>
        <w:right w:val="none" w:sz="0" w:space="0" w:color="auto"/>
      </w:divBdr>
    </w:div>
    <w:div w:id="1151754602">
      <w:bodyDiv w:val="1"/>
      <w:marLeft w:val="0"/>
      <w:marRight w:val="0"/>
      <w:marTop w:val="0"/>
      <w:marBottom w:val="0"/>
      <w:divBdr>
        <w:top w:val="none" w:sz="0" w:space="0" w:color="auto"/>
        <w:left w:val="none" w:sz="0" w:space="0" w:color="auto"/>
        <w:bottom w:val="none" w:sz="0" w:space="0" w:color="auto"/>
        <w:right w:val="none" w:sz="0" w:space="0" w:color="auto"/>
      </w:divBdr>
    </w:div>
    <w:div w:id="1161236743">
      <w:bodyDiv w:val="1"/>
      <w:marLeft w:val="0"/>
      <w:marRight w:val="0"/>
      <w:marTop w:val="0"/>
      <w:marBottom w:val="0"/>
      <w:divBdr>
        <w:top w:val="none" w:sz="0" w:space="0" w:color="auto"/>
        <w:left w:val="none" w:sz="0" w:space="0" w:color="auto"/>
        <w:bottom w:val="none" w:sz="0" w:space="0" w:color="auto"/>
        <w:right w:val="none" w:sz="0" w:space="0" w:color="auto"/>
      </w:divBdr>
    </w:div>
    <w:div w:id="1162235903">
      <w:bodyDiv w:val="1"/>
      <w:marLeft w:val="0"/>
      <w:marRight w:val="0"/>
      <w:marTop w:val="0"/>
      <w:marBottom w:val="0"/>
      <w:divBdr>
        <w:top w:val="none" w:sz="0" w:space="0" w:color="auto"/>
        <w:left w:val="none" w:sz="0" w:space="0" w:color="auto"/>
        <w:bottom w:val="none" w:sz="0" w:space="0" w:color="auto"/>
        <w:right w:val="none" w:sz="0" w:space="0" w:color="auto"/>
      </w:divBdr>
    </w:div>
    <w:div w:id="1179195008">
      <w:bodyDiv w:val="1"/>
      <w:marLeft w:val="0"/>
      <w:marRight w:val="0"/>
      <w:marTop w:val="0"/>
      <w:marBottom w:val="0"/>
      <w:divBdr>
        <w:top w:val="none" w:sz="0" w:space="0" w:color="auto"/>
        <w:left w:val="none" w:sz="0" w:space="0" w:color="auto"/>
        <w:bottom w:val="none" w:sz="0" w:space="0" w:color="auto"/>
        <w:right w:val="none" w:sz="0" w:space="0" w:color="auto"/>
      </w:divBdr>
    </w:div>
    <w:div w:id="1196041964">
      <w:bodyDiv w:val="1"/>
      <w:marLeft w:val="0"/>
      <w:marRight w:val="0"/>
      <w:marTop w:val="0"/>
      <w:marBottom w:val="0"/>
      <w:divBdr>
        <w:top w:val="none" w:sz="0" w:space="0" w:color="auto"/>
        <w:left w:val="none" w:sz="0" w:space="0" w:color="auto"/>
        <w:bottom w:val="none" w:sz="0" w:space="0" w:color="auto"/>
        <w:right w:val="none" w:sz="0" w:space="0" w:color="auto"/>
      </w:divBdr>
    </w:div>
    <w:div w:id="1215046399">
      <w:bodyDiv w:val="1"/>
      <w:marLeft w:val="0"/>
      <w:marRight w:val="0"/>
      <w:marTop w:val="0"/>
      <w:marBottom w:val="0"/>
      <w:divBdr>
        <w:top w:val="none" w:sz="0" w:space="0" w:color="auto"/>
        <w:left w:val="none" w:sz="0" w:space="0" w:color="auto"/>
        <w:bottom w:val="none" w:sz="0" w:space="0" w:color="auto"/>
        <w:right w:val="none" w:sz="0" w:space="0" w:color="auto"/>
      </w:divBdr>
    </w:div>
    <w:div w:id="1219560339">
      <w:bodyDiv w:val="1"/>
      <w:marLeft w:val="0"/>
      <w:marRight w:val="0"/>
      <w:marTop w:val="0"/>
      <w:marBottom w:val="0"/>
      <w:divBdr>
        <w:top w:val="none" w:sz="0" w:space="0" w:color="auto"/>
        <w:left w:val="none" w:sz="0" w:space="0" w:color="auto"/>
        <w:bottom w:val="none" w:sz="0" w:space="0" w:color="auto"/>
        <w:right w:val="none" w:sz="0" w:space="0" w:color="auto"/>
      </w:divBdr>
    </w:div>
    <w:div w:id="1258638377">
      <w:bodyDiv w:val="1"/>
      <w:marLeft w:val="0"/>
      <w:marRight w:val="0"/>
      <w:marTop w:val="0"/>
      <w:marBottom w:val="0"/>
      <w:divBdr>
        <w:top w:val="none" w:sz="0" w:space="0" w:color="auto"/>
        <w:left w:val="none" w:sz="0" w:space="0" w:color="auto"/>
        <w:bottom w:val="none" w:sz="0" w:space="0" w:color="auto"/>
        <w:right w:val="none" w:sz="0" w:space="0" w:color="auto"/>
      </w:divBdr>
    </w:div>
    <w:div w:id="1259211392">
      <w:bodyDiv w:val="1"/>
      <w:marLeft w:val="0"/>
      <w:marRight w:val="0"/>
      <w:marTop w:val="0"/>
      <w:marBottom w:val="0"/>
      <w:divBdr>
        <w:top w:val="none" w:sz="0" w:space="0" w:color="auto"/>
        <w:left w:val="none" w:sz="0" w:space="0" w:color="auto"/>
        <w:bottom w:val="none" w:sz="0" w:space="0" w:color="auto"/>
        <w:right w:val="none" w:sz="0" w:space="0" w:color="auto"/>
      </w:divBdr>
    </w:div>
    <w:div w:id="1267075447">
      <w:bodyDiv w:val="1"/>
      <w:marLeft w:val="0"/>
      <w:marRight w:val="0"/>
      <w:marTop w:val="0"/>
      <w:marBottom w:val="0"/>
      <w:divBdr>
        <w:top w:val="none" w:sz="0" w:space="0" w:color="auto"/>
        <w:left w:val="none" w:sz="0" w:space="0" w:color="auto"/>
        <w:bottom w:val="none" w:sz="0" w:space="0" w:color="auto"/>
        <w:right w:val="none" w:sz="0" w:space="0" w:color="auto"/>
      </w:divBdr>
      <w:divsChild>
        <w:div w:id="248589521">
          <w:marLeft w:val="0"/>
          <w:marRight w:val="0"/>
          <w:marTop w:val="0"/>
          <w:marBottom w:val="0"/>
          <w:divBdr>
            <w:top w:val="none" w:sz="0" w:space="0" w:color="auto"/>
            <w:left w:val="none" w:sz="0" w:space="0" w:color="auto"/>
            <w:bottom w:val="none" w:sz="0" w:space="0" w:color="auto"/>
            <w:right w:val="none" w:sz="0" w:space="0" w:color="auto"/>
          </w:divBdr>
        </w:div>
        <w:div w:id="1537617628">
          <w:marLeft w:val="0"/>
          <w:marRight w:val="0"/>
          <w:marTop w:val="0"/>
          <w:marBottom w:val="0"/>
          <w:divBdr>
            <w:top w:val="none" w:sz="0" w:space="0" w:color="auto"/>
            <w:left w:val="none" w:sz="0" w:space="0" w:color="auto"/>
            <w:bottom w:val="none" w:sz="0" w:space="0" w:color="auto"/>
            <w:right w:val="none" w:sz="0" w:space="0" w:color="auto"/>
          </w:divBdr>
        </w:div>
      </w:divsChild>
    </w:div>
    <w:div w:id="1282417303">
      <w:bodyDiv w:val="1"/>
      <w:marLeft w:val="0"/>
      <w:marRight w:val="0"/>
      <w:marTop w:val="0"/>
      <w:marBottom w:val="0"/>
      <w:divBdr>
        <w:top w:val="none" w:sz="0" w:space="0" w:color="auto"/>
        <w:left w:val="none" w:sz="0" w:space="0" w:color="auto"/>
        <w:bottom w:val="none" w:sz="0" w:space="0" w:color="auto"/>
        <w:right w:val="none" w:sz="0" w:space="0" w:color="auto"/>
      </w:divBdr>
      <w:divsChild>
        <w:div w:id="2006548116">
          <w:marLeft w:val="0"/>
          <w:marRight w:val="0"/>
          <w:marTop w:val="0"/>
          <w:marBottom w:val="0"/>
          <w:divBdr>
            <w:top w:val="none" w:sz="0" w:space="0" w:color="auto"/>
            <w:left w:val="none" w:sz="0" w:space="0" w:color="auto"/>
            <w:bottom w:val="none" w:sz="0" w:space="0" w:color="auto"/>
            <w:right w:val="none" w:sz="0" w:space="0" w:color="auto"/>
          </w:divBdr>
          <w:divsChild>
            <w:div w:id="1247690893">
              <w:marLeft w:val="0"/>
              <w:marRight w:val="0"/>
              <w:marTop w:val="0"/>
              <w:marBottom w:val="0"/>
              <w:divBdr>
                <w:top w:val="none" w:sz="0" w:space="0" w:color="auto"/>
                <w:left w:val="none" w:sz="0" w:space="0" w:color="auto"/>
                <w:bottom w:val="single" w:sz="6" w:space="0" w:color="CCCCCC"/>
                <w:right w:val="none" w:sz="0" w:space="0" w:color="auto"/>
              </w:divBdr>
              <w:divsChild>
                <w:div w:id="735662958">
                  <w:marLeft w:val="0"/>
                  <w:marRight w:val="0"/>
                  <w:marTop w:val="0"/>
                  <w:marBottom w:val="0"/>
                  <w:divBdr>
                    <w:top w:val="none" w:sz="0" w:space="0" w:color="auto"/>
                    <w:left w:val="none" w:sz="0" w:space="0" w:color="auto"/>
                    <w:bottom w:val="none" w:sz="0" w:space="0" w:color="auto"/>
                    <w:right w:val="none" w:sz="0" w:space="0" w:color="auto"/>
                  </w:divBdr>
                  <w:divsChild>
                    <w:div w:id="129444285">
                      <w:marLeft w:val="0"/>
                      <w:marRight w:val="0"/>
                      <w:marTop w:val="0"/>
                      <w:marBottom w:val="0"/>
                      <w:divBdr>
                        <w:top w:val="none" w:sz="0" w:space="0" w:color="auto"/>
                        <w:left w:val="none" w:sz="0" w:space="0" w:color="auto"/>
                        <w:bottom w:val="none" w:sz="0" w:space="0" w:color="auto"/>
                        <w:right w:val="none" w:sz="0" w:space="0" w:color="auto"/>
                      </w:divBdr>
                    </w:div>
                    <w:div w:id="1134569165">
                      <w:marLeft w:val="0"/>
                      <w:marRight w:val="0"/>
                      <w:marTop w:val="0"/>
                      <w:marBottom w:val="0"/>
                      <w:divBdr>
                        <w:top w:val="none" w:sz="0" w:space="0" w:color="auto"/>
                        <w:left w:val="none" w:sz="0" w:space="0" w:color="auto"/>
                        <w:bottom w:val="none" w:sz="0" w:space="0" w:color="auto"/>
                        <w:right w:val="none" w:sz="0" w:space="0" w:color="auto"/>
                      </w:divBdr>
                    </w:div>
                  </w:divsChild>
                </w:div>
                <w:div w:id="424956705">
                  <w:marLeft w:val="0"/>
                  <w:marRight w:val="0"/>
                  <w:marTop w:val="0"/>
                  <w:marBottom w:val="0"/>
                  <w:divBdr>
                    <w:top w:val="none" w:sz="0" w:space="0" w:color="auto"/>
                    <w:left w:val="none" w:sz="0" w:space="0" w:color="auto"/>
                    <w:bottom w:val="none" w:sz="0" w:space="0" w:color="auto"/>
                    <w:right w:val="none" w:sz="0" w:space="0" w:color="auto"/>
                  </w:divBdr>
                  <w:divsChild>
                    <w:div w:id="11257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0841">
              <w:marLeft w:val="0"/>
              <w:marRight w:val="0"/>
              <w:marTop w:val="0"/>
              <w:marBottom w:val="0"/>
              <w:divBdr>
                <w:top w:val="none" w:sz="0" w:space="0" w:color="auto"/>
                <w:left w:val="none" w:sz="0" w:space="0" w:color="auto"/>
                <w:bottom w:val="none" w:sz="0" w:space="0" w:color="auto"/>
                <w:right w:val="none" w:sz="0" w:space="0" w:color="auto"/>
              </w:divBdr>
              <w:divsChild>
                <w:div w:id="25181282">
                  <w:marLeft w:val="0"/>
                  <w:marRight w:val="0"/>
                  <w:marTop w:val="0"/>
                  <w:marBottom w:val="0"/>
                  <w:divBdr>
                    <w:top w:val="none" w:sz="0" w:space="0" w:color="auto"/>
                    <w:left w:val="none" w:sz="0" w:space="0" w:color="auto"/>
                    <w:bottom w:val="none" w:sz="0" w:space="0" w:color="auto"/>
                    <w:right w:val="none" w:sz="0" w:space="0" w:color="auto"/>
                  </w:divBdr>
                  <w:divsChild>
                    <w:div w:id="119764423">
                      <w:marLeft w:val="0"/>
                      <w:marRight w:val="0"/>
                      <w:marTop w:val="0"/>
                      <w:marBottom w:val="0"/>
                      <w:divBdr>
                        <w:top w:val="none" w:sz="0" w:space="0" w:color="auto"/>
                        <w:left w:val="none" w:sz="0" w:space="0" w:color="auto"/>
                        <w:bottom w:val="none" w:sz="0" w:space="0" w:color="auto"/>
                        <w:right w:val="none" w:sz="0" w:space="0" w:color="auto"/>
                      </w:divBdr>
                    </w:div>
                    <w:div w:id="1918441647">
                      <w:marLeft w:val="0"/>
                      <w:marRight w:val="0"/>
                      <w:marTop w:val="0"/>
                      <w:marBottom w:val="0"/>
                      <w:divBdr>
                        <w:top w:val="none" w:sz="0" w:space="0" w:color="auto"/>
                        <w:left w:val="none" w:sz="0" w:space="0" w:color="auto"/>
                        <w:bottom w:val="none" w:sz="0" w:space="0" w:color="auto"/>
                        <w:right w:val="none" w:sz="0" w:space="0" w:color="auto"/>
                      </w:divBdr>
                    </w:div>
                  </w:divsChild>
                </w:div>
                <w:div w:id="262687623">
                  <w:marLeft w:val="0"/>
                  <w:marRight w:val="0"/>
                  <w:marTop w:val="0"/>
                  <w:marBottom w:val="0"/>
                  <w:divBdr>
                    <w:top w:val="none" w:sz="0" w:space="0" w:color="auto"/>
                    <w:left w:val="none" w:sz="0" w:space="0" w:color="auto"/>
                    <w:bottom w:val="none" w:sz="0" w:space="0" w:color="auto"/>
                    <w:right w:val="none" w:sz="0" w:space="0" w:color="auto"/>
                  </w:divBdr>
                  <w:divsChild>
                    <w:div w:id="5507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06840">
              <w:marLeft w:val="0"/>
              <w:marRight w:val="0"/>
              <w:marTop w:val="0"/>
              <w:marBottom w:val="0"/>
              <w:divBdr>
                <w:top w:val="none" w:sz="0" w:space="0" w:color="auto"/>
                <w:left w:val="none" w:sz="0" w:space="0" w:color="auto"/>
                <w:bottom w:val="none" w:sz="0" w:space="0" w:color="auto"/>
                <w:right w:val="none" w:sz="0" w:space="0" w:color="auto"/>
              </w:divBdr>
              <w:divsChild>
                <w:div w:id="15347963">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600458690">
          <w:marLeft w:val="0"/>
          <w:marRight w:val="0"/>
          <w:marTop w:val="0"/>
          <w:marBottom w:val="0"/>
          <w:divBdr>
            <w:top w:val="none" w:sz="0" w:space="0" w:color="auto"/>
            <w:left w:val="none" w:sz="0" w:space="0" w:color="auto"/>
            <w:bottom w:val="none" w:sz="0" w:space="0" w:color="auto"/>
            <w:right w:val="none" w:sz="0" w:space="0" w:color="auto"/>
          </w:divBdr>
          <w:divsChild>
            <w:div w:id="1869030256">
              <w:marLeft w:val="0"/>
              <w:marRight w:val="0"/>
              <w:marTop w:val="237"/>
              <w:marBottom w:val="0"/>
              <w:divBdr>
                <w:top w:val="none" w:sz="0" w:space="0" w:color="auto"/>
                <w:left w:val="none" w:sz="0" w:space="0" w:color="auto"/>
                <w:bottom w:val="single" w:sz="6" w:space="0" w:color="99CCFF"/>
                <w:right w:val="none" w:sz="0" w:space="0" w:color="auto"/>
              </w:divBdr>
              <w:divsChild>
                <w:div w:id="1618635449">
                  <w:marLeft w:val="0"/>
                  <w:marRight w:val="0"/>
                  <w:marTop w:val="0"/>
                  <w:marBottom w:val="0"/>
                  <w:divBdr>
                    <w:top w:val="none" w:sz="0" w:space="0" w:color="auto"/>
                    <w:left w:val="none" w:sz="0" w:space="0" w:color="auto"/>
                    <w:bottom w:val="none" w:sz="0" w:space="0" w:color="auto"/>
                    <w:right w:val="none" w:sz="0" w:space="0" w:color="auto"/>
                  </w:divBdr>
                  <w:divsChild>
                    <w:div w:id="606544978">
                      <w:marLeft w:val="0"/>
                      <w:marRight w:val="0"/>
                      <w:marTop w:val="0"/>
                      <w:marBottom w:val="0"/>
                      <w:divBdr>
                        <w:top w:val="none" w:sz="0" w:space="0" w:color="auto"/>
                        <w:left w:val="none" w:sz="0" w:space="0" w:color="auto"/>
                        <w:bottom w:val="none" w:sz="0" w:space="0" w:color="auto"/>
                        <w:right w:val="none" w:sz="0" w:space="0" w:color="auto"/>
                      </w:divBdr>
                    </w:div>
                    <w:div w:id="1652439907">
                      <w:marLeft w:val="0"/>
                      <w:marRight w:val="0"/>
                      <w:marTop w:val="0"/>
                      <w:marBottom w:val="0"/>
                      <w:divBdr>
                        <w:top w:val="none" w:sz="0" w:space="0" w:color="auto"/>
                        <w:left w:val="none" w:sz="0" w:space="0" w:color="auto"/>
                        <w:bottom w:val="none" w:sz="0" w:space="0" w:color="auto"/>
                        <w:right w:val="none" w:sz="0" w:space="0" w:color="auto"/>
                      </w:divBdr>
                    </w:div>
                  </w:divsChild>
                </w:div>
                <w:div w:id="1236434105">
                  <w:marLeft w:val="0"/>
                  <w:marRight w:val="0"/>
                  <w:marTop w:val="0"/>
                  <w:marBottom w:val="0"/>
                  <w:divBdr>
                    <w:top w:val="none" w:sz="0" w:space="0" w:color="auto"/>
                    <w:left w:val="none" w:sz="0" w:space="0" w:color="auto"/>
                    <w:bottom w:val="none" w:sz="0" w:space="0" w:color="auto"/>
                    <w:right w:val="none" w:sz="0" w:space="0" w:color="auto"/>
                  </w:divBdr>
                  <w:divsChild>
                    <w:div w:id="18009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54609">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302690111">
      <w:bodyDiv w:val="1"/>
      <w:marLeft w:val="0"/>
      <w:marRight w:val="0"/>
      <w:marTop w:val="0"/>
      <w:marBottom w:val="0"/>
      <w:divBdr>
        <w:top w:val="none" w:sz="0" w:space="0" w:color="auto"/>
        <w:left w:val="none" w:sz="0" w:space="0" w:color="auto"/>
        <w:bottom w:val="none" w:sz="0" w:space="0" w:color="auto"/>
        <w:right w:val="none" w:sz="0" w:space="0" w:color="auto"/>
      </w:divBdr>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341396949">
      <w:bodyDiv w:val="1"/>
      <w:marLeft w:val="0"/>
      <w:marRight w:val="0"/>
      <w:marTop w:val="0"/>
      <w:marBottom w:val="0"/>
      <w:divBdr>
        <w:top w:val="none" w:sz="0" w:space="0" w:color="auto"/>
        <w:left w:val="none" w:sz="0" w:space="0" w:color="auto"/>
        <w:bottom w:val="none" w:sz="0" w:space="0" w:color="auto"/>
        <w:right w:val="none" w:sz="0" w:space="0" w:color="auto"/>
      </w:divBdr>
    </w:div>
    <w:div w:id="1425495087">
      <w:bodyDiv w:val="1"/>
      <w:marLeft w:val="0"/>
      <w:marRight w:val="0"/>
      <w:marTop w:val="0"/>
      <w:marBottom w:val="0"/>
      <w:divBdr>
        <w:top w:val="none" w:sz="0" w:space="0" w:color="auto"/>
        <w:left w:val="none" w:sz="0" w:space="0" w:color="auto"/>
        <w:bottom w:val="none" w:sz="0" w:space="0" w:color="auto"/>
        <w:right w:val="none" w:sz="0" w:space="0" w:color="auto"/>
      </w:divBdr>
    </w:div>
    <w:div w:id="1454399415">
      <w:bodyDiv w:val="1"/>
      <w:marLeft w:val="0"/>
      <w:marRight w:val="0"/>
      <w:marTop w:val="0"/>
      <w:marBottom w:val="0"/>
      <w:divBdr>
        <w:top w:val="none" w:sz="0" w:space="0" w:color="auto"/>
        <w:left w:val="none" w:sz="0" w:space="0" w:color="auto"/>
        <w:bottom w:val="none" w:sz="0" w:space="0" w:color="auto"/>
        <w:right w:val="none" w:sz="0" w:space="0" w:color="auto"/>
      </w:divBdr>
      <w:divsChild>
        <w:div w:id="412901624">
          <w:marLeft w:val="0"/>
          <w:marRight w:val="0"/>
          <w:marTop w:val="0"/>
          <w:marBottom w:val="0"/>
          <w:divBdr>
            <w:top w:val="none" w:sz="0" w:space="0" w:color="auto"/>
            <w:left w:val="none" w:sz="0" w:space="0" w:color="auto"/>
            <w:bottom w:val="none" w:sz="0" w:space="0" w:color="auto"/>
            <w:right w:val="none" w:sz="0" w:space="0" w:color="auto"/>
          </w:divBdr>
        </w:div>
        <w:div w:id="1398548785">
          <w:marLeft w:val="0"/>
          <w:marRight w:val="0"/>
          <w:marTop w:val="0"/>
          <w:marBottom w:val="0"/>
          <w:divBdr>
            <w:top w:val="none" w:sz="0" w:space="0" w:color="auto"/>
            <w:left w:val="none" w:sz="0" w:space="0" w:color="auto"/>
            <w:bottom w:val="none" w:sz="0" w:space="0" w:color="auto"/>
            <w:right w:val="none" w:sz="0" w:space="0" w:color="auto"/>
          </w:divBdr>
          <w:divsChild>
            <w:div w:id="899100557">
              <w:marLeft w:val="0"/>
              <w:marRight w:val="0"/>
              <w:marTop w:val="0"/>
              <w:marBottom w:val="0"/>
              <w:divBdr>
                <w:top w:val="none" w:sz="0" w:space="0" w:color="auto"/>
                <w:left w:val="none" w:sz="0" w:space="0" w:color="auto"/>
                <w:bottom w:val="none" w:sz="0" w:space="0" w:color="auto"/>
                <w:right w:val="none" w:sz="0" w:space="0" w:color="auto"/>
              </w:divBdr>
              <w:divsChild>
                <w:div w:id="116405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0855">
          <w:marLeft w:val="0"/>
          <w:marRight w:val="0"/>
          <w:marTop w:val="0"/>
          <w:marBottom w:val="0"/>
          <w:divBdr>
            <w:top w:val="none" w:sz="0" w:space="0" w:color="auto"/>
            <w:left w:val="none" w:sz="0" w:space="0" w:color="auto"/>
            <w:bottom w:val="none" w:sz="0" w:space="0" w:color="auto"/>
            <w:right w:val="none" w:sz="0" w:space="0" w:color="auto"/>
          </w:divBdr>
          <w:divsChild>
            <w:div w:id="2089842458">
              <w:marLeft w:val="0"/>
              <w:marRight w:val="0"/>
              <w:marTop w:val="0"/>
              <w:marBottom w:val="0"/>
              <w:divBdr>
                <w:top w:val="none" w:sz="0" w:space="0" w:color="auto"/>
                <w:left w:val="none" w:sz="0" w:space="0" w:color="auto"/>
                <w:bottom w:val="none" w:sz="0" w:space="0" w:color="auto"/>
                <w:right w:val="none" w:sz="0" w:space="0" w:color="auto"/>
              </w:divBdr>
              <w:divsChild>
                <w:div w:id="31922847">
                  <w:marLeft w:val="0"/>
                  <w:marRight w:val="0"/>
                  <w:marTop w:val="0"/>
                  <w:marBottom w:val="0"/>
                  <w:divBdr>
                    <w:top w:val="none" w:sz="0" w:space="0" w:color="auto"/>
                    <w:left w:val="none" w:sz="0" w:space="0" w:color="auto"/>
                    <w:bottom w:val="none" w:sz="0" w:space="0" w:color="auto"/>
                    <w:right w:val="none" w:sz="0" w:space="0" w:color="auto"/>
                  </w:divBdr>
                </w:div>
                <w:div w:id="7549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4772">
          <w:marLeft w:val="0"/>
          <w:marRight w:val="0"/>
          <w:marTop w:val="0"/>
          <w:marBottom w:val="0"/>
          <w:divBdr>
            <w:top w:val="none" w:sz="0" w:space="0" w:color="auto"/>
            <w:left w:val="none" w:sz="0" w:space="0" w:color="auto"/>
            <w:bottom w:val="none" w:sz="0" w:space="0" w:color="auto"/>
            <w:right w:val="none" w:sz="0" w:space="0" w:color="auto"/>
          </w:divBdr>
        </w:div>
      </w:divsChild>
    </w:div>
    <w:div w:id="1461414974">
      <w:bodyDiv w:val="1"/>
      <w:marLeft w:val="0"/>
      <w:marRight w:val="0"/>
      <w:marTop w:val="0"/>
      <w:marBottom w:val="0"/>
      <w:divBdr>
        <w:top w:val="none" w:sz="0" w:space="0" w:color="auto"/>
        <w:left w:val="none" w:sz="0" w:space="0" w:color="auto"/>
        <w:bottom w:val="none" w:sz="0" w:space="0" w:color="auto"/>
        <w:right w:val="none" w:sz="0" w:space="0" w:color="auto"/>
      </w:divBdr>
    </w:div>
    <w:div w:id="1474830418">
      <w:bodyDiv w:val="1"/>
      <w:marLeft w:val="0"/>
      <w:marRight w:val="0"/>
      <w:marTop w:val="0"/>
      <w:marBottom w:val="0"/>
      <w:divBdr>
        <w:top w:val="none" w:sz="0" w:space="0" w:color="auto"/>
        <w:left w:val="none" w:sz="0" w:space="0" w:color="auto"/>
        <w:bottom w:val="none" w:sz="0" w:space="0" w:color="auto"/>
        <w:right w:val="none" w:sz="0" w:space="0" w:color="auto"/>
      </w:divBdr>
      <w:divsChild>
        <w:div w:id="414204178">
          <w:marLeft w:val="0"/>
          <w:marRight w:val="0"/>
          <w:marTop w:val="0"/>
          <w:marBottom w:val="0"/>
          <w:divBdr>
            <w:top w:val="none" w:sz="0" w:space="0" w:color="auto"/>
            <w:left w:val="none" w:sz="0" w:space="0" w:color="auto"/>
            <w:bottom w:val="none" w:sz="0" w:space="0" w:color="auto"/>
            <w:right w:val="none" w:sz="0" w:space="0" w:color="auto"/>
          </w:divBdr>
          <w:divsChild>
            <w:div w:id="1501384840">
              <w:marLeft w:val="0"/>
              <w:marRight w:val="0"/>
              <w:marTop w:val="0"/>
              <w:marBottom w:val="0"/>
              <w:divBdr>
                <w:top w:val="none" w:sz="0" w:space="0" w:color="auto"/>
                <w:left w:val="none" w:sz="0" w:space="0" w:color="auto"/>
                <w:bottom w:val="none" w:sz="0" w:space="0" w:color="auto"/>
                <w:right w:val="none" w:sz="0" w:space="0" w:color="auto"/>
              </w:divBdr>
              <w:divsChild>
                <w:div w:id="1920365428">
                  <w:marLeft w:val="0"/>
                  <w:marRight w:val="0"/>
                  <w:marTop w:val="0"/>
                  <w:marBottom w:val="0"/>
                  <w:divBdr>
                    <w:top w:val="none" w:sz="0" w:space="0" w:color="auto"/>
                    <w:left w:val="none" w:sz="0" w:space="0" w:color="auto"/>
                    <w:bottom w:val="none" w:sz="0" w:space="0" w:color="auto"/>
                    <w:right w:val="none" w:sz="0" w:space="0" w:color="auto"/>
                  </w:divBdr>
                  <w:divsChild>
                    <w:div w:id="1631479061">
                      <w:marLeft w:val="0"/>
                      <w:marRight w:val="0"/>
                      <w:marTop w:val="0"/>
                      <w:marBottom w:val="340"/>
                      <w:divBdr>
                        <w:top w:val="none" w:sz="0" w:space="0" w:color="auto"/>
                        <w:left w:val="none" w:sz="0" w:space="0" w:color="auto"/>
                        <w:bottom w:val="none" w:sz="0" w:space="0" w:color="auto"/>
                        <w:right w:val="none" w:sz="0" w:space="0" w:color="auto"/>
                      </w:divBdr>
                      <w:divsChild>
                        <w:div w:id="10246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368097">
      <w:bodyDiv w:val="1"/>
      <w:marLeft w:val="0"/>
      <w:marRight w:val="0"/>
      <w:marTop w:val="0"/>
      <w:marBottom w:val="0"/>
      <w:divBdr>
        <w:top w:val="none" w:sz="0" w:space="0" w:color="auto"/>
        <w:left w:val="none" w:sz="0" w:space="0" w:color="auto"/>
        <w:bottom w:val="none" w:sz="0" w:space="0" w:color="auto"/>
        <w:right w:val="none" w:sz="0" w:space="0" w:color="auto"/>
      </w:divBdr>
    </w:div>
    <w:div w:id="1539390255">
      <w:bodyDiv w:val="1"/>
      <w:marLeft w:val="0"/>
      <w:marRight w:val="0"/>
      <w:marTop w:val="0"/>
      <w:marBottom w:val="0"/>
      <w:divBdr>
        <w:top w:val="none" w:sz="0" w:space="0" w:color="auto"/>
        <w:left w:val="none" w:sz="0" w:space="0" w:color="auto"/>
        <w:bottom w:val="none" w:sz="0" w:space="0" w:color="auto"/>
        <w:right w:val="none" w:sz="0" w:space="0" w:color="auto"/>
      </w:divBdr>
    </w:div>
    <w:div w:id="1543403589">
      <w:bodyDiv w:val="1"/>
      <w:marLeft w:val="0"/>
      <w:marRight w:val="0"/>
      <w:marTop w:val="0"/>
      <w:marBottom w:val="0"/>
      <w:divBdr>
        <w:top w:val="none" w:sz="0" w:space="0" w:color="auto"/>
        <w:left w:val="none" w:sz="0" w:space="0" w:color="auto"/>
        <w:bottom w:val="none" w:sz="0" w:space="0" w:color="auto"/>
        <w:right w:val="none" w:sz="0" w:space="0" w:color="auto"/>
      </w:divBdr>
    </w:div>
    <w:div w:id="1604150503">
      <w:bodyDiv w:val="1"/>
      <w:marLeft w:val="0"/>
      <w:marRight w:val="0"/>
      <w:marTop w:val="0"/>
      <w:marBottom w:val="0"/>
      <w:divBdr>
        <w:top w:val="none" w:sz="0" w:space="0" w:color="auto"/>
        <w:left w:val="none" w:sz="0" w:space="0" w:color="auto"/>
        <w:bottom w:val="none" w:sz="0" w:space="0" w:color="auto"/>
        <w:right w:val="none" w:sz="0" w:space="0" w:color="auto"/>
      </w:divBdr>
    </w:div>
    <w:div w:id="1610048162">
      <w:bodyDiv w:val="1"/>
      <w:marLeft w:val="0"/>
      <w:marRight w:val="0"/>
      <w:marTop w:val="0"/>
      <w:marBottom w:val="0"/>
      <w:divBdr>
        <w:top w:val="none" w:sz="0" w:space="0" w:color="auto"/>
        <w:left w:val="none" w:sz="0" w:space="0" w:color="auto"/>
        <w:bottom w:val="none" w:sz="0" w:space="0" w:color="auto"/>
        <w:right w:val="none" w:sz="0" w:space="0" w:color="auto"/>
      </w:divBdr>
      <w:divsChild>
        <w:div w:id="26374174">
          <w:marLeft w:val="0"/>
          <w:marRight w:val="0"/>
          <w:marTop w:val="0"/>
          <w:marBottom w:val="0"/>
          <w:divBdr>
            <w:top w:val="none" w:sz="0" w:space="0" w:color="auto"/>
            <w:left w:val="none" w:sz="0" w:space="0" w:color="auto"/>
            <w:bottom w:val="none" w:sz="0" w:space="0" w:color="auto"/>
            <w:right w:val="none" w:sz="0" w:space="0" w:color="auto"/>
          </w:divBdr>
          <w:divsChild>
            <w:div w:id="1305039237">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1620648874">
      <w:bodyDiv w:val="1"/>
      <w:marLeft w:val="0"/>
      <w:marRight w:val="0"/>
      <w:marTop w:val="0"/>
      <w:marBottom w:val="0"/>
      <w:divBdr>
        <w:top w:val="none" w:sz="0" w:space="0" w:color="auto"/>
        <w:left w:val="none" w:sz="0" w:space="0" w:color="auto"/>
        <w:bottom w:val="none" w:sz="0" w:space="0" w:color="auto"/>
        <w:right w:val="none" w:sz="0" w:space="0" w:color="auto"/>
      </w:divBdr>
    </w:div>
    <w:div w:id="1644196230">
      <w:bodyDiv w:val="1"/>
      <w:marLeft w:val="0"/>
      <w:marRight w:val="0"/>
      <w:marTop w:val="0"/>
      <w:marBottom w:val="0"/>
      <w:divBdr>
        <w:top w:val="none" w:sz="0" w:space="0" w:color="auto"/>
        <w:left w:val="none" w:sz="0" w:space="0" w:color="auto"/>
        <w:bottom w:val="none" w:sz="0" w:space="0" w:color="auto"/>
        <w:right w:val="none" w:sz="0" w:space="0" w:color="auto"/>
      </w:divBdr>
    </w:div>
    <w:div w:id="1655643202">
      <w:bodyDiv w:val="1"/>
      <w:marLeft w:val="0"/>
      <w:marRight w:val="0"/>
      <w:marTop w:val="0"/>
      <w:marBottom w:val="0"/>
      <w:divBdr>
        <w:top w:val="none" w:sz="0" w:space="0" w:color="auto"/>
        <w:left w:val="none" w:sz="0" w:space="0" w:color="auto"/>
        <w:bottom w:val="none" w:sz="0" w:space="0" w:color="auto"/>
        <w:right w:val="none" w:sz="0" w:space="0" w:color="auto"/>
      </w:divBdr>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711882742">
      <w:bodyDiv w:val="1"/>
      <w:marLeft w:val="0"/>
      <w:marRight w:val="0"/>
      <w:marTop w:val="0"/>
      <w:marBottom w:val="0"/>
      <w:divBdr>
        <w:top w:val="none" w:sz="0" w:space="0" w:color="auto"/>
        <w:left w:val="none" w:sz="0" w:space="0" w:color="auto"/>
        <w:bottom w:val="none" w:sz="0" w:space="0" w:color="auto"/>
        <w:right w:val="none" w:sz="0" w:space="0" w:color="auto"/>
      </w:divBdr>
      <w:divsChild>
        <w:div w:id="339503908">
          <w:marLeft w:val="0"/>
          <w:marRight w:val="0"/>
          <w:marTop w:val="0"/>
          <w:marBottom w:val="0"/>
          <w:divBdr>
            <w:top w:val="none" w:sz="0" w:space="0" w:color="auto"/>
            <w:left w:val="none" w:sz="0" w:space="0" w:color="auto"/>
            <w:bottom w:val="none" w:sz="0" w:space="0" w:color="auto"/>
            <w:right w:val="none" w:sz="0" w:space="0" w:color="auto"/>
          </w:divBdr>
        </w:div>
        <w:div w:id="1618877319">
          <w:marLeft w:val="0"/>
          <w:marRight w:val="0"/>
          <w:marTop w:val="0"/>
          <w:marBottom w:val="0"/>
          <w:divBdr>
            <w:top w:val="none" w:sz="0" w:space="0" w:color="auto"/>
            <w:left w:val="none" w:sz="0" w:space="0" w:color="auto"/>
            <w:bottom w:val="none" w:sz="0" w:space="0" w:color="auto"/>
            <w:right w:val="none" w:sz="0" w:space="0" w:color="auto"/>
          </w:divBdr>
        </w:div>
        <w:div w:id="329527628">
          <w:marLeft w:val="0"/>
          <w:marRight w:val="0"/>
          <w:marTop w:val="0"/>
          <w:marBottom w:val="0"/>
          <w:divBdr>
            <w:top w:val="none" w:sz="0" w:space="0" w:color="auto"/>
            <w:left w:val="none" w:sz="0" w:space="0" w:color="auto"/>
            <w:bottom w:val="none" w:sz="0" w:space="0" w:color="auto"/>
            <w:right w:val="none" w:sz="0" w:space="0" w:color="auto"/>
          </w:divBdr>
        </w:div>
        <w:div w:id="1102140634">
          <w:marLeft w:val="0"/>
          <w:marRight w:val="0"/>
          <w:marTop w:val="0"/>
          <w:marBottom w:val="0"/>
          <w:divBdr>
            <w:top w:val="none" w:sz="0" w:space="0" w:color="auto"/>
            <w:left w:val="none" w:sz="0" w:space="0" w:color="auto"/>
            <w:bottom w:val="none" w:sz="0" w:space="0" w:color="auto"/>
            <w:right w:val="none" w:sz="0" w:space="0" w:color="auto"/>
          </w:divBdr>
        </w:div>
        <w:div w:id="1062601393">
          <w:marLeft w:val="0"/>
          <w:marRight w:val="0"/>
          <w:marTop w:val="0"/>
          <w:marBottom w:val="0"/>
          <w:divBdr>
            <w:top w:val="none" w:sz="0" w:space="0" w:color="auto"/>
            <w:left w:val="none" w:sz="0" w:space="0" w:color="auto"/>
            <w:bottom w:val="none" w:sz="0" w:space="0" w:color="auto"/>
            <w:right w:val="none" w:sz="0" w:space="0" w:color="auto"/>
          </w:divBdr>
        </w:div>
        <w:div w:id="1494099002">
          <w:marLeft w:val="0"/>
          <w:marRight w:val="0"/>
          <w:marTop w:val="0"/>
          <w:marBottom w:val="0"/>
          <w:divBdr>
            <w:top w:val="none" w:sz="0" w:space="0" w:color="auto"/>
            <w:left w:val="none" w:sz="0" w:space="0" w:color="auto"/>
            <w:bottom w:val="none" w:sz="0" w:space="0" w:color="auto"/>
            <w:right w:val="none" w:sz="0" w:space="0" w:color="auto"/>
          </w:divBdr>
        </w:div>
      </w:divsChild>
    </w:div>
    <w:div w:id="1716276901">
      <w:bodyDiv w:val="1"/>
      <w:marLeft w:val="0"/>
      <w:marRight w:val="0"/>
      <w:marTop w:val="0"/>
      <w:marBottom w:val="0"/>
      <w:divBdr>
        <w:top w:val="none" w:sz="0" w:space="0" w:color="auto"/>
        <w:left w:val="none" w:sz="0" w:space="0" w:color="auto"/>
        <w:bottom w:val="none" w:sz="0" w:space="0" w:color="auto"/>
        <w:right w:val="none" w:sz="0" w:space="0" w:color="auto"/>
      </w:divBdr>
      <w:divsChild>
        <w:div w:id="691417850">
          <w:marLeft w:val="0"/>
          <w:marRight w:val="0"/>
          <w:marTop w:val="0"/>
          <w:marBottom w:val="0"/>
          <w:divBdr>
            <w:top w:val="none" w:sz="0" w:space="0" w:color="auto"/>
            <w:left w:val="none" w:sz="0" w:space="0" w:color="auto"/>
            <w:bottom w:val="none" w:sz="0" w:space="0" w:color="auto"/>
            <w:right w:val="none" w:sz="0" w:space="0" w:color="auto"/>
          </w:divBdr>
          <w:divsChild>
            <w:div w:id="532887573">
              <w:marLeft w:val="0"/>
              <w:marRight w:val="0"/>
              <w:marTop w:val="0"/>
              <w:marBottom w:val="0"/>
              <w:divBdr>
                <w:top w:val="none" w:sz="0" w:space="0" w:color="auto"/>
                <w:left w:val="none" w:sz="0" w:space="0" w:color="auto"/>
                <w:bottom w:val="none" w:sz="0" w:space="0" w:color="auto"/>
                <w:right w:val="none" w:sz="0" w:space="0" w:color="auto"/>
              </w:divBdr>
              <w:divsChild>
                <w:div w:id="2099324187">
                  <w:marLeft w:val="0"/>
                  <w:marRight w:val="0"/>
                  <w:marTop w:val="0"/>
                  <w:marBottom w:val="0"/>
                  <w:divBdr>
                    <w:top w:val="none" w:sz="0" w:space="0" w:color="auto"/>
                    <w:left w:val="none" w:sz="0" w:space="0" w:color="auto"/>
                    <w:bottom w:val="none" w:sz="0" w:space="0" w:color="auto"/>
                    <w:right w:val="none" w:sz="0" w:space="0" w:color="auto"/>
                  </w:divBdr>
                  <w:divsChild>
                    <w:div w:id="1112633693">
                      <w:marLeft w:val="0"/>
                      <w:marRight w:val="0"/>
                      <w:marTop w:val="0"/>
                      <w:marBottom w:val="0"/>
                      <w:divBdr>
                        <w:top w:val="none" w:sz="0" w:space="0" w:color="auto"/>
                        <w:left w:val="none" w:sz="0" w:space="0" w:color="auto"/>
                        <w:bottom w:val="none" w:sz="0" w:space="0" w:color="auto"/>
                        <w:right w:val="none" w:sz="0" w:space="0" w:color="auto"/>
                      </w:divBdr>
                      <w:divsChild>
                        <w:div w:id="51781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281933">
          <w:marLeft w:val="0"/>
          <w:marRight w:val="0"/>
          <w:marTop w:val="0"/>
          <w:marBottom w:val="0"/>
          <w:divBdr>
            <w:top w:val="none" w:sz="0" w:space="0" w:color="auto"/>
            <w:left w:val="none" w:sz="0" w:space="0" w:color="auto"/>
            <w:bottom w:val="none" w:sz="0" w:space="0" w:color="auto"/>
            <w:right w:val="none" w:sz="0" w:space="0" w:color="auto"/>
          </w:divBdr>
          <w:divsChild>
            <w:div w:id="891965819">
              <w:marLeft w:val="0"/>
              <w:marRight w:val="0"/>
              <w:marTop w:val="0"/>
              <w:marBottom w:val="0"/>
              <w:divBdr>
                <w:top w:val="none" w:sz="0" w:space="0" w:color="auto"/>
                <w:left w:val="none" w:sz="0" w:space="0" w:color="auto"/>
                <w:bottom w:val="none" w:sz="0" w:space="0" w:color="auto"/>
                <w:right w:val="none" w:sz="0" w:space="0" w:color="auto"/>
              </w:divBdr>
              <w:divsChild>
                <w:div w:id="452679290">
                  <w:marLeft w:val="0"/>
                  <w:marRight w:val="0"/>
                  <w:marTop w:val="0"/>
                  <w:marBottom w:val="0"/>
                  <w:divBdr>
                    <w:top w:val="none" w:sz="0" w:space="0" w:color="auto"/>
                    <w:left w:val="none" w:sz="0" w:space="0" w:color="auto"/>
                    <w:bottom w:val="none" w:sz="0" w:space="0" w:color="auto"/>
                    <w:right w:val="none" w:sz="0" w:space="0" w:color="auto"/>
                  </w:divBdr>
                  <w:divsChild>
                    <w:div w:id="1133256336">
                      <w:marLeft w:val="0"/>
                      <w:marRight w:val="0"/>
                      <w:marTop w:val="0"/>
                      <w:marBottom w:val="0"/>
                      <w:divBdr>
                        <w:top w:val="none" w:sz="0" w:space="0" w:color="auto"/>
                        <w:left w:val="none" w:sz="0" w:space="0" w:color="auto"/>
                        <w:bottom w:val="none" w:sz="0" w:space="0" w:color="auto"/>
                        <w:right w:val="none" w:sz="0" w:space="0" w:color="auto"/>
                      </w:divBdr>
                      <w:divsChild>
                        <w:div w:id="82555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433152">
      <w:bodyDiv w:val="1"/>
      <w:marLeft w:val="0"/>
      <w:marRight w:val="0"/>
      <w:marTop w:val="0"/>
      <w:marBottom w:val="0"/>
      <w:divBdr>
        <w:top w:val="none" w:sz="0" w:space="0" w:color="auto"/>
        <w:left w:val="none" w:sz="0" w:space="0" w:color="auto"/>
        <w:bottom w:val="none" w:sz="0" w:space="0" w:color="auto"/>
        <w:right w:val="none" w:sz="0" w:space="0" w:color="auto"/>
      </w:divBdr>
    </w:div>
    <w:div w:id="1755199931">
      <w:bodyDiv w:val="1"/>
      <w:marLeft w:val="0"/>
      <w:marRight w:val="0"/>
      <w:marTop w:val="0"/>
      <w:marBottom w:val="0"/>
      <w:divBdr>
        <w:top w:val="none" w:sz="0" w:space="0" w:color="auto"/>
        <w:left w:val="none" w:sz="0" w:space="0" w:color="auto"/>
        <w:bottom w:val="none" w:sz="0" w:space="0" w:color="auto"/>
        <w:right w:val="none" w:sz="0" w:space="0" w:color="auto"/>
      </w:divBdr>
      <w:divsChild>
        <w:div w:id="223764146">
          <w:marLeft w:val="0"/>
          <w:marRight w:val="0"/>
          <w:marTop w:val="0"/>
          <w:marBottom w:val="0"/>
          <w:divBdr>
            <w:top w:val="none" w:sz="0" w:space="0" w:color="auto"/>
            <w:left w:val="none" w:sz="0" w:space="0" w:color="auto"/>
            <w:bottom w:val="none" w:sz="0" w:space="0" w:color="auto"/>
            <w:right w:val="none" w:sz="0" w:space="0" w:color="auto"/>
          </w:divBdr>
        </w:div>
        <w:div w:id="1780639023">
          <w:marLeft w:val="0"/>
          <w:marRight w:val="0"/>
          <w:marTop w:val="0"/>
          <w:marBottom w:val="0"/>
          <w:divBdr>
            <w:top w:val="none" w:sz="0" w:space="0" w:color="auto"/>
            <w:left w:val="none" w:sz="0" w:space="0" w:color="auto"/>
            <w:bottom w:val="none" w:sz="0" w:space="0" w:color="auto"/>
            <w:right w:val="none" w:sz="0" w:space="0" w:color="auto"/>
          </w:divBdr>
        </w:div>
      </w:divsChild>
    </w:div>
    <w:div w:id="1757553789">
      <w:bodyDiv w:val="1"/>
      <w:marLeft w:val="0"/>
      <w:marRight w:val="0"/>
      <w:marTop w:val="0"/>
      <w:marBottom w:val="0"/>
      <w:divBdr>
        <w:top w:val="none" w:sz="0" w:space="0" w:color="auto"/>
        <w:left w:val="none" w:sz="0" w:space="0" w:color="auto"/>
        <w:bottom w:val="none" w:sz="0" w:space="0" w:color="auto"/>
        <w:right w:val="none" w:sz="0" w:space="0" w:color="auto"/>
      </w:divBdr>
      <w:divsChild>
        <w:div w:id="1732188545">
          <w:marLeft w:val="0"/>
          <w:marRight w:val="0"/>
          <w:marTop w:val="0"/>
          <w:marBottom w:val="0"/>
          <w:divBdr>
            <w:top w:val="none" w:sz="0" w:space="0" w:color="auto"/>
            <w:left w:val="none" w:sz="0" w:space="0" w:color="auto"/>
            <w:bottom w:val="none" w:sz="0" w:space="0" w:color="auto"/>
            <w:right w:val="none" w:sz="0" w:space="0" w:color="auto"/>
          </w:divBdr>
          <w:divsChild>
            <w:div w:id="2091388585">
              <w:marLeft w:val="0"/>
              <w:marRight w:val="0"/>
              <w:marTop w:val="0"/>
              <w:marBottom w:val="0"/>
              <w:divBdr>
                <w:top w:val="none" w:sz="0" w:space="0" w:color="auto"/>
                <w:left w:val="none" w:sz="0" w:space="0" w:color="auto"/>
                <w:bottom w:val="none" w:sz="0" w:space="0" w:color="auto"/>
                <w:right w:val="none" w:sz="0" w:space="0" w:color="auto"/>
              </w:divBdr>
              <w:divsChild>
                <w:div w:id="336663483">
                  <w:marLeft w:val="0"/>
                  <w:marRight w:val="0"/>
                  <w:marTop w:val="0"/>
                  <w:marBottom w:val="0"/>
                  <w:divBdr>
                    <w:top w:val="none" w:sz="0" w:space="0" w:color="auto"/>
                    <w:left w:val="none" w:sz="0" w:space="0" w:color="auto"/>
                    <w:bottom w:val="none" w:sz="0" w:space="0" w:color="auto"/>
                    <w:right w:val="none" w:sz="0" w:space="0" w:color="auto"/>
                  </w:divBdr>
                  <w:divsChild>
                    <w:div w:id="639190732">
                      <w:marLeft w:val="0"/>
                      <w:marRight w:val="0"/>
                      <w:marTop w:val="0"/>
                      <w:marBottom w:val="0"/>
                      <w:divBdr>
                        <w:top w:val="none" w:sz="0" w:space="0" w:color="auto"/>
                        <w:left w:val="none" w:sz="0" w:space="0" w:color="auto"/>
                        <w:bottom w:val="none" w:sz="0" w:space="0" w:color="auto"/>
                        <w:right w:val="none" w:sz="0" w:space="0" w:color="auto"/>
                      </w:divBdr>
                      <w:divsChild>
                        <w:div w:id="167680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580629">
          <w:marLeft w:val="0"/>
          <w:marRight w:val="0"/>
          <w:marTop w:val="0"/>
          <w:marBottom w:val="0"/>
          <w:divBdr>
            <w:top w:val="none" w:sz="0" w:space="0" w:color="auto"/>
            <w:left w:val="none" w:sz="0" w:space="0" w:color="auto"/>
            <w:bottom w:val="none" w:sz="0" w:space="0" w:color="auto"/>
            <w:right w:val="none" w:sz="0" w:space="0" w:color="auto"/>
          </w:divBdr>
          <w:divsChild>
            <w:div w:id="927227215">
              <w:marLeft w:val="0"/>
              <w:marRight w:val="0"/>
              <w:marTop w:val="0"/>
              <w:marBottom w:val="0"/>
              <w:divBdr>
                <w:top w:val="none" w:sz="0" w:space="0" w:color="auto"/>
                <w:left w:val="none" w:sz="0" w:space="0" w:color="auto"/>
                <w:bottom w:val="none" w:sz="0" w:space="0" w:color="auto"/>
                <w:right w:val="none" w:sz="0" w:space="0" w:color="auto"/>
              </w:divBdr>
              <w:divsChild>
                <w:div w:id="276521318">
                  <w:marLeft w:val="0"/>
                  <w:marRight w:val="0"/>
                  <w:marTop w:val="0"/>
                  <w:marBottom w:val="0"/>
                  <w:divBdr>
                    <w:top w:val="none" w:sz="0" w:space="0" w:color="auto"/>
                    <w:left w:val="none" w:sz="0" w:space="0" w:color="auto"/>
                    <w:bottom w:val="none" w:sz="0" w:space="0" w:color="auto"/>
                    <w:right w:val="none" w:sz="0" w:space="0" w:color="auto"/>
                  </w:divBdr>
                  <w:divsChild>
                    <w:div w:id="1111436188">
                      <w:marLeft w:val="0"/>
                      <w:marRight w:val="0"/>
                      <w:marTop w:val="0"/>
                      <w:marBottom w:val="0"/>
                      <w:divBdr>
                        <w:top w:val="none" w:sz="0" w:space="0" w:color="auto"/>
                        <w:left w:val="none" w:sz="0" w:space="0" w:color="auto"/>
                        <w:bottom w:val="none" w:sz="0" w:space="0" w:color="auto"/>
                        <w:right w:val="none" w:sz="0" w:space="0" w:color="auto"/>
                      </w:divBdr>
                      <w:divsChild>
                        <w:div w:id="182616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222834">
      <w:bodyDiv w:val="1"/>
      <w:marLeft w:val="0"/>
      <w:marRight w:val="0"/>
      <w:marTop w:val="0"/>
      <w:marBottom w:val="0"/>
      <w:divBdr>
        <w:top w:val="none" w:sz="0" w:space="0" w:color="auto"/>
        <w:left w:val="none" w:sz="0" w:space="0" w:color="auto"/>
        <w:bottom w:val="none" w:sz="0" w:space="0" w:color="auto"/>
        <w:right w:val="none" w:sz="0" w:space="0" w:color="auto"/>
      </w:divBdr>
    </w:div>
    <w:div w:id="1782531652">
      <w:bodyDiv w:val="1"/>
      <w:marLeft w:val="0"/>
      <w:marRight w:val="0"/>
      <w:marTop w:val="0"/>
      <w:marBottom w:val="0"/>
      <w:divBdr>
        <w:top w:val="none" w:sz="0" w:space="0" w:color="auto"/>
        <w:left w:val="none" w:sz="0" w:space="0" w:color="auto"/>
        <w:bottom w:val="none" w:sz="0" w:space="0" w:color="auto"/>
        <w:right w:val="none" w:sz="0" w:space="0" w:color="auto"/>
      </w:divBdr>
    </w:div>
    <w:div w:id="1805779075">
      <w:bodyDiv w:val="1"/>
      <w:marLeft w:val="0"/>
      <w:marRight w:val="0"/>
      <w:marTop w:val="0"/>
      <w:marBottom w:val="0"/>
      <w:divBdr>
        <w:top w:val="none" w:sz="0" w:space="0" w:color="auto"/>
        <w:left w:val="none" w:sz="0" w:space="0" w:color="auto"/>
        <w:bottom w:val="none" w:sz="0" w:space="0" w:color="auto"/>
        <w:right w:val="none" w:sz="0" w:space="0" w:color="auto"/>
      </w:divBdr>
      <w:divsChild>
        <w:div w:id="897399728">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3969">
      <w:bodyDiv w:val="1"/>
      <w:marLeft w:val="0"/>
      <w:marRight w:val="0"/>
      <w:marTop w:val="0"/>
      <w:marBottom w:val="0"/>
      <w:divBdr>
        <w:top w:val="none" w:sz="0" w:space="0" w:color="auto"/>
        <w:left w:val="none" w:sz="0" w:space="0" w:color="auto"/>
        <w:bottom w:val="none" w:sz="0" w:space="0" w:color="auto"/>
        <w:right w:val="none" w:sz="0" w:space="0" w:color="auto"/>
      </w:divBdr>
    </w:div>
    <w:div w:id="1875339704">
      <w:bodyDiv w:val="1"/>
      <w:marLeft w:val="0"/>
      <w:marRight w:val="0"/>
      <w:marTop w:val="0"/>
      <w:marBottom w:val="0"/>
      <w:divBdr>
        <w:top w:val="none" w:sz="0" w:space="0" w:color="auto"/>
        <w:left w:val="none" w:sz="0" w:space="0" w:color="auto"/>
        <w:bottom w:val="none" w:sz="0" w:space="0" w:color="auto"/>
        <w:right w:val="none" w:sz="0" w:space="0" w:color="auto"/>
      </w:divBdr>
    </w:div>
    <w:div w:id="1881046862">
      <w:bodyDiv w:val="1"/>
      <w:marLeft w:val="0"/>
      <w:marRight w:val="0"/>
      <w:marTop w:val="0"/>
      <w:marBottom w:val="0"/>
      <w:divBdr>
        <w:top w:val="none" w:sz="0" w:space="0" w:color="auto"/>
        <w:left w:val="none" w:sz="0" w:space="0" w:color="auto"/>
        <w:bottom w:val="none" w:sz="0" w:space="0" w:color="auto"/>
        <w:right w:val="none" w:sz="0" w:space="0" w:color="auto"/>
      </w:divBdr>
    </w:div>
    <w:div w:id="1899591896">
      <w:bodyDiv w:val="1"/>
      <w:marLeft w:val="0"/>
      <w:marRight w:val="0"/>
      <w:marTop w:val="0"/>
      <w:marBottom w:val="0"/>
      <w:divBdr>
        <w:top w:val="none" w:sz="0" w:space="0" w:color="auto"/>
        <w:left w:val="none" w:sz="0" w:space="0" w:color="auto"/>
        <w:bottom w:val="none" w:sz="0" w:space="0" w:color="auto"/>
        <w:right w:val="none" w:sz="0" w:space="0" w:color="auto"/>
      </w:divBdr>
      <w:divsChild>
        <w:div w:id="735977676">
          <w:marLeft w:val="0"/>
          <w:marRight w:val="0"/>
          <w:marTop w:val="0"/>
          <w:marBottom w:val="0"/>
          <w:divBdr>
            <w:top w:val="none" w:sz="0" w:space="0" w:color="auto"/>
            <w:left w:val="none" w:sz="0" w:space="0" w:color="auto"/>
            <w:bottom w:val="none" w:sz="0" w:space="0" w:color="auto"/>
            <w:right w:val="none" w:sz="0" w:space="0" w:color="auto"/>
          </w:divBdr>
          <w:divsChild>
            <w:div w:id="1049574652">
              <w:marLeft w:val="0"/>
              <w:marRight w:val="0"/>
              <w:marTop w:val="0"/>
              <w:marBottom w:val="0"/>
              <w:divBdr>
                <w:top w:val="none" w:sz="0" w:space="0" w:color="auto"/>
                <w:left w:val="none" w:sz="0" w:space="0" w:color="auto"/>
                <w:bottom w:val="none" w:sz="0" w:space="0" w:color="auto"/>
                <w:right w:val="none" w:sz="0" w:space="0" w:color="auto"/>
              </w:divBdr>
            </w:div>
          </w:divsChild>
        </w:div>
        <w:div w:id="305477228">
          <w:marLeft w:val="0"/>
          <w:marRight w:val="0"/>
          <w:marTop w:val="0"/>
          <w:marBottom w:val="0"/>
          <w:divBdr>
            <w:top w:val="none" w:sz="0" w:space="0" w:color="auto"/>
            <w:left w:val="none" w:sz="0" w:space="0" w:color="auto"/>
            <w:bottom w:val="none" w:sz="0" w:space="0" w:color="auto"/>
            <w:right w:val="none" w:sz="0" w:space="0" w:color="auto"/>
          </w:divBdr>
          <w:divsChild>
            <w:div w:id="976180487">
              <w:marLeft w:val="0"/>
              <w:marRight w:val="0"/>
              <w:marTop w:val="0"/>
              <w:marBottom w:val="0"/>
              <w:divBdr>
                <w:top w:val="none" w:sz="0" w:space="0" w:color="auto"/>
                <w:left w:val="none" w:sz="0" w:space="0" w:color="auto"/>
                <w:bottom w:val="none" w:sz="0" w:space="0" w:color="auto"/>
                <w:right w:val="none" w:sz="0" w:space="0" w:color="auto"/>
              </w:divBdr>
            </w:div>
            <w:div w:id="35188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741913">
      <w:bodyDiv w:val="1"/>
      <w:marLeft w:val="0"/>
      <w:marRight w:val="0"/>
      <w:marTop w:val="0"/>
      <w:marBottom w:val="0"/>
      <w:divBdr>
        <w:top w:val="none" w:sz="0" w:space="0" w:color="auto"/>
        <w:left w:val="none" w:sz="0" w:space="0" w:color="auto"/>
        <w:bottom w:val="none" w:sz="0" w:space="0" w:color="auto"/>
        <w:right w:val="none" w:sz="0" w:space="0" w:color="auto"/>
      </w:divBdr>
      <w:divsChild>
        <w:div w:id="1093235192">
          <w:marLeft w:val="0"/>
          <w:marRight w:val="0"/>
          <w:marTop w:val="0"/>
          <w:marBottom w:val="0"/>
          <w:divBdr>
            <w:top w:val="none" w:sz="0" w:space="0" w:color="auto"/>
            <w:left w:val="none" w:sz="0" w:space="0" w:color="auto"/>
            <w:bottom w:val="none" w:sz="0" w:space="0" w:color="auto"/>
            <w:right w:val="none" w:sz="0" w:space="0" w:color="auto"/>
          </w:divBdr>
          <w:divsChild>
            <w:div w:id="884877303">
              <w:marLeft w:val="0"/>
              <w:marRight w:val="0"/>
              <w:marTop w:val="0"/>
              <w:marBottom w:val="0"/>
              <w:divBdr>
                <w:top w:val="none" w:sz="0" w:space="0" w:color="auto"/>
                <w:left w:val="none" w:sz="0" w:space="0" w:color="auto"/>
                <w:bottom w:val="none" w:sz="0" w:space="0" w:color="auto"/>
                <w:right w:val="none" w:sz="0" w:space="0" w:color="auto"/>
              </w:divBdr>
              <w:divsChild>
                <w:div w:id="617222033">
                  <w:marLeft w:val="0"/>
                  <w:marRight w:val="0"/>
                  <w:marTop w:val="0"/>
                  <w:marBottom w:val="0"/>
                  <w:divBdr>
                    <w:top w:val="none" w:sz="0" w:space="0" w:color="auto"/>
                    <w:left w:val="none" w:sz="0" w:space="0" w:color="auto"/>
                    <w:bottom w:val="none" w:sz="0" w:space="0" w:color="auto"/>
                    <w:right w:val="none" w:sz="0" w:space="0" w:color="auto"/>
                  </w:divBdr>
                  <w:divsChild>
                    <w:div w:id="161824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188884">
      <w:bodyDiv w:val="1"/>
      <w:marLeft w:val="0"/>
      <w:marRight w:val="0"/>
      <w:marTop w:val="0"/>
      <w:marBottom w:val="0"/>
      <w:divBdr>
        <w:top w:val="none" w:sz="0" w:space="0" w:color="auto"/>
        <w:left w:val="none" w:sz="0" w:space="0" w:color="auto"/>
        <w:bottom w:val="none" w:sz="0" w:space="0" w:color="auto"/>
        <w:right w:val="none" w:sz="0" w:space="0" w:color="auto"/>
      </w:divBdr>
      <w:divsChild>
        <w:div w:id="799761123">
          <w:marLeft w:val="0"/>
          <w:marRight w:val="0"/>
          <w:marTop w:val="0"/>
          <w:marBottom w:val="0"/>
          <w:divBdr>
            <w:top w:val="none" w:sz="0" w:space="0" w:color="auto"/>
            <w:left w:val="none" w:sz="0" w:space="0" w:color="auto"/>
            <w:bottom w:val="none" w:sz="0" w:space="0" w:color="auto"/>
            <w:right w:val="none" w:sz="0" w:space="0" w:color="auto"/>
          </w:divBdr>
        </w:div>
        <w:div w:id="1357659347">
          <w:marLeft w:val="0"/>
          <w:marRight w:val="0"/>
          <w:marTop w:val="0"/>
          <w:marBottom w:val="0"/>
          <w:divBdr>
            <w:top w:val="none" w:sz="0" w:space="0" w:color="auto"/>
            <w:left w:val="none" w:sz="0" w:space="0" w:color="auto"/>
            <w:bottom w:val="none" w:sz="0" w:space="0" w:color="auto"/>
            <w:right w:val="none" w:sz="0" w:space="0" w:color="auto"/>
          </w:divBdr>
        </w:div>
      </w:divsChild>
    </w:div>
    <w:div w:id="1914045868">
      <w:bodyDiv w:val="1"/>
      <w:marLeft w:val="0"/>
      <w:marRight w:val="0"/>
      <w:marTop w:val="0"/>
      <w:marBottom w:val="0"/>
      <w:divBdr>
        <w:top w:val="none" w:sz="0" w:space="0" w:color="auto"/>
        <w:left w:val="none" w:sz="0" w:space="0" w:color="auto"/>
        <w:bottom w:val="none" w:sz="0" w:space="0" w:color="auto"/>
        <w:right w:val="none" w:sz="0" w:space="0" w:color="auto"/>
      </w:divBdr>
    </w:div>
    <w:div w:id="1925719641">
      <w:bodyDiv w:val="1"/>
      <w:marLeft w:val="0"/>
      <w:marRight w:val="0"/>
      <w:marTop w:val="0"/>
      <w:marBottom w:val="0"/>
      <w:divBdr>
        <w:top w:val="none" w:sz="0" w:space="0" w:color="auto"/>
        <w:left w:val="none" w:sz="0" w:space="0" w:color="auto"/>
        <w:bottom w:val="none" w:sz="0" w:space="0" w:color="auto"/>
        <w:right w:val="none" w:sz="0" w:space="0" w:color="auto"/>
      </w:divBdr>
      <w:divsChild>
        <w:div w:id="53241619">
          <w:marLeft w:val="0"/>
          <w:marRight w:val="0"/>
          <w:marTop w:val="0"/>
          <w:marBottom w:val="0"/>
          <w:divBdr>
            <w:top w:val="none" w:sz="0" w:space="0" w:color="auto"/>
            <w:left w:val="none" w:sz="0" w:space="0" w:color="auto"/>
            <w:bottom w:val="none" w:sz="0" w:space="0" w:color="auto"/>
            <w:right w:val="none" w:sz="0" w:space="0" w:color="auto"/>
          </w:divBdr>
          <w:divsChild>
            <w:div w:id="1652907423">
              <w:marLeft w:val="0"/>
              <w:marRight w:val="0"/>
              <w:marTop w:val="0"/>
              <w:marBottom w:val="0"/>
              <w:divBdr>
                <w:top w:val="none" w:sz="0" w:space="0" w:color="auto"/>
                <w:left w:val="none" w:sz="0" w:space="0" w:color="auto"/>
                <w:bottom w:val="single" w:sz="6" w:space="0" w:color="CCCCCC"/>
                <w:right w:val="none" w:sz="0" w:space="0" w:color="auto"/>
              </w:divBdr>
              <w:divsChild>
                <w:div w:id="1186478623">
                  <w:marLeft w:val="0"/>
                  <w:marRight w:val="0"/>
                  <w:marTop w:val="0"/>
                  <w:marBottom w:val="0"/>
                  <w:divBdr>
                    <w:top w:val="none" w:sz="0" w:space="0" w:color="auto"/>
                    <w:left w:val="none" w:sz="0" w:space="0" w:color="auto"/>
                    <w:bottom w:val="none" w:sz="0" w:space="0" w:color="auto"/>
                    <w:right w:val="none" w:sz="0" w:space="0" w:color="auto"/>
                  </w:divBdr>
                  <w:divsChild>
                    <w:div w:id="1943104896">
                      <w:marLeft w:val="0"/>
                      <w:marRight w:val="0"/>
                      <w:marTop w:val="0"/>
                      <w:marBottom w:val="0"/>
                      <w:divBdr>
                        <w:top w:val="none" w:sz="0" w:space="0" w:color="auto"/>
                        <w:left w:val="none" w:sz="0" w:space="0" w:color="auto"/>
                        <w:bottom w:val="none" w:sz="0" w:space="0" w:color="auto"/>
                        <w:right w:val="none" w:sz="0" w:space="0" w:color="auto"/>
                      </w:divBdr>
                      <w:divsChild>
                        <w:div w:id="1603686405">
                          <w:marLeft w:val="0"/>
                          <w:marRight w:val="0"/>
                          <w:marTop w:val="0"/>
                          <w:marBottom w:val="0"/>
                          <w:divBdr>
                            <w:top w:val="none" w:sz="0" w:space="0" w:color="auto"/>
                            <w:left w:val="none" w:sz="0" w:space="0" w:color="auto"/>
                            <w:bottom w:val="none" w:sz="0" w:space="0" w:color="auto"/>
                            <w:right w:val="none" w:sz="0" w:space="0" w:color="auto"/>
                          </w:divBdr>
                        </w:div>
                      </w:divsChild>
                    </w:div>
                    <w:div w:id="1133026">
                      <w:marLeft w:val="0"/>
                      <w:marRight w:val="0"/>
                      <w:marTop w:val="0"/>
                      <w:marBottom w:val="0"/>
                      <w:divBdr>
                        <w:top w:val="none" w:sz="0" w:space="0" w:color="auto"/>
                        <w:left w:val="none" w:sz="0" w:space="0" w:color="auto"/>
                        <w:bottom w:val="none" w:sz="0" w:space="0" w:color="auto"/>
                        <w:right w:val="none" w:sz="0" w:space="0" w:color="auto"/>
                      </w:divBdr>
                    </w:div>
                    <w:div w:id="2073504775">
                      <w:marLeft w:val="0"/>
                      <w:marRight w:val="0"/>
                      <w:marTop w:val="0"/>
                      <w:marBottom w:val="0"/>
                      <w:divBdr>
                        <w:top w:val="none" w:sz="0" w:space="0" w:color="auto"/>
                        <w:left w:val="none" w:sz="0" w:space="0" w:color="auto"/>
                        <w:bottom w:val="none" w:sz="0" w:space="0" w:color="auto"/>
                        <w:right w:val="none" w:sz="0" w:space="0" w:color="auto"/>
                      </w:divBdr>
                    </w:div>
                    <w:div w:id="348944704">
                      <w:marLeft w:val="0"/>
                      <w:marRight w:val="0"/>
                      <w:marTop w:val="0"/>
                      <w:marBottom w:val="0"/>
                      <w:divBdr>
                        <w:top w:val="none" w:sz="0" w:space="0" w:color="auto"/>
                        <w:left w:val="none" w:sz="0" w:space="0" w:color="auto"/>
                        <w:bottom w:val="none" w:sz="0" w:space="0" w:color="auto"/>
                        <w:right w:val="none" w:sz="0" w:space="0" w:color="auto"/>
                      </w:divBdr>
                    </w:div>
                  </w:divsChild>
                </w:div>
                <w:div w:id="460224513">
                  <w:marLeft w:val="0"/>
                  <w:marRight w:val="0"/>
                  <w:marTop w:val="0"/>
                  <w:marBottom w:val="0"/>
                  <w:divBdr>
                    <w:top w:val="none" w:sz="0" w:space="0" w:color="auto"/>
                    <w:left w:val="none" w:sz="0" w:space="0" w:color="auto"/>
                    <w:bottom w:val="none" w:sz="0" w:space="0" w:color="auto"/>
                    <w:right w:val="none" w:sz="0" w:space="0" w:color="auto"/>
                  </w:divBdr>
                  <w:divsChild>
                    <w:div w:id="158872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0049">
              <w:marLeft w:val="0"/>
              <w:marRight w:val="0"/>
              <w:marTop w:val="0"/>
              <w:marBottom w:val="0"/>
              <w:divBdr>
                <w:top w:val="none" w:sz="0" w:space="0" w:color="auto"/>
                <w:left w:val="none" w:sz="0" w:space="0" w:color="auto"/>
                <w:bottom w:val="none" w:sz="0" w:space="0" w:color="auto"/>
                <w:right w:val="none" w:sz="0" w:space="0" w:color="auto"/>
              </w:divBdr>
              <w:divsChild>
                <w:div w:id="1538738298">
                  <w:marLeft w:val="0"/>
                  <w:marRight w:val="0"/>
                  <w:marTop w:val="0"/>
                  <w:marBottom w:val="0"/>
                  <w:divBdr>
                    <w:top w:val="none" w:sz="0" w:space="0" w:color="auto"/>
                    <w:left w:val="none" w:sz="0" w:space="0" w:color="auto"/>
                    <w:bottom w:val="none" w:sz="0" w:space="0" w:color="auto"/>
                    <w:right w:val="none" w:sz="0" w:space="0" w:color="auto"/>
                  </w:divBdr>
                  <w:divsChild>
                    <w:div w:id="1304384600">
                      <w:marLeft w:val="0"/>
                      <w:marRight w:val="0"/>
                      <w:marTop w:val="0"/>
                      <w:marBottom w:val="0"/>
                      <w:divBdr>
                        <w:top w:val="none" w:sz="0" w:space="0" w:color="auto"/>
                        <w:left w:val="none" w:sz="0" w:space="0" w:color="auto"/>
                        <w:bottom w:val="none" w:sz="0" w:space="0" w:color="auto"/>
                        <w:right w:val="none" w:sz="0" w:space="0" w:color="auto"/>
                      </w:divBdr>
                    </w:div>
                    <w:div w:id="1514684496">
                      <w:marLeft w:val="0"/>
                      <w:marRight w:val="0"/>
                      <w:marTop w:val="0"/>
                      <w:marBottom w:val="0"/>
                      <w:divBdr>
                        <w:top w:val="none" w:sz="0" w:space="0" w:color="auto"/>
                        <w:left w:val="none" w:sz="0" w:space="0" w:color="auto"/>
                        <w:bottom w:val="none" w:sz="0" w:space="0" w:color="auto"/>
                        <w:right w:val="none" w:sz="0" w:space="0" w:color="auto"/>
                      </w:divBdr>
                    </w:div>
                  </w:divsChild>
                </w:div>
                <w:div w:id="246111137">
                  <w:marLeft w:val="0"/>
                  <w:marRight w:val="0"/>
                  <w:marTop w:val="0"/>
                  <w:marBottom w:val="0"/>
                  <w:divBdr>
                    <w:top w:val="none" w:sz="0" w:space="0" w:color="auto"/>
                    <w:left w:val="none" w:sz="0" w:space="0" w:color="auto"/>
                    <w:bottom w:val="none" w:sz="0" w:space="0" w:color="auto"/>
                    <w:right w:val="none" w:sz="0" w:space="0" w:color="auto"/>
                  </w:divBdr>
                  <w:divsChild>
                    <w:div w:id="26994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6685">
              <w:marLeft w:val="0"/>
              <w:marRight w:val="0"/>
              <w:marTop w:val="0"/>
              <w:marBottom w:val="0"/>
              <w:divBdr>
                <w:top w:val="none" w:sz="0" w:space="0" w:color="auto"/>
                <w:left w:val="none" w:sz="0" w:space="0" w:color="auto"/>
                <w:bottom w:val="none" w:sz="0" w:space="0" w:color="auto"/>
                <w:right w:val="none" w:sz="0" w:space="0" w:color="auto"/>
              </w:divBdr>
              <w:divsChild>
                <w:div w:id="1854299336">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1429082299">
          <w:marLeft w:val="0"/>
          <w:marRight w:val="0"/>
          <w:marTop w:val="0"/>
          <w:marBottom w:val="0"/>
          <w:divBdr>
            <w:top w:val="none" w:sz="0" w:space="0" w:color="auto"/>
            <w:left w:val="none" w:sz="0" w:space="0" w:color="auto"/>
            <w:bottom w:val="none" w:sz="0" w:space="0" w:color="auto"/>
            <w:right w:val="none" w:sz="0" w:space="0" w:color="auto"/>
          </w:divBdr>
          <w:divsChild>
            <w:div w:id="364019601">
              <w:marLeft w:val="0"/>
              <w:marRight w:val="0"/>
              <w:marTop w:val="237"/>
              <w:marBottom w:val="0"/>
              <w:divBdr>
                <w:top w:val="none" w:sz="0" w:space="0" w:color="auto"/>
                <w:left w:val="none" w:sz="0" w:space="0" w:color="auto"/>
                <w:bottom w:val="single" w:sz="6" w:space="0" w:color="99CCFF"/>
                <w:right w:val="none" w:sz="0" w:space="0" w:color="auto"/>
              </w:divBdr>
              <w:divsChild>
                <w:div w:id="1271863532">
                  <w:marLeft w:val="0"/>
                  <w:marRight w:val="0"/>
                  <w:marTop w:val="0"/>
                  <w:marBottom w:val="0"/>
                  <w:divBdr>
                    <w:top w:val="none" w:sz="0" w:space="0" w:color="auto"/>
                    <w:left w:val="none" w:sz="0" w:space="0" w:color="auto"/>
                    <w:bottom w:val="none" w:sz="0" w:space="0" w:color="auto"/>
                    <w:right w:val="none" w:sz="0" w:space="0" w:color="auto"/>
                  </w:divBdr>
                  <w:divsChild>
                    <w:div w:id="1478955360">
                      <w:marLeft w:val="0"/>
                      <w:marRight w:val="0"/>
                      <w:marTop w:val="0"/>
                      <w:marBottom w:val="0"/>
                      <w:divBdr>
                        <w:top w:val="none" w:sz="0" w:space="0" w:color="auto"/>
                        <w:left w:val="none" w:sz="0" w:space="0" w:color="auto"/>
                        <w:bottom w:val="none" w:sz="0" w:space="0" w:color="auto"/>
                        <w:right w:val="none" w:sz="0" w:space="0" w:color="auto"/>
                      </w:divBdr>
                    </w:div>
                    <w:div w:id="201409299">
                      <w:marLeft w:val="0"/>
                      <w:marRight w:val="0"/>
                      <w:marTop w:val="0"/>
                      <w:marBottom w:val="0"/>
                      <w:divBdr>
                        <w:top w:val="none" w:sz="0" w:space="0" w:color="auto"/>
                        <w:left w:val="none" w:sz="0" w:space="0" w:color="auto"/>
                        <w:bottom w:val="none" w:sz="0" w:space="0" w:color="auto"/>
                        <w:right w:val="none" w:sz="0" w:space="0" w:color="auto"/>
                      </w:divBdr>
                    </w:div>
                  </w:divsChild>
                </w:div>
                <w:div w:id="126049364">
                  <w:marLeft w:val="0"/>
                  <w:marRight w:val="0"/>
                  <w:marTop w:val="0"/>
                  <w:marBottom w:val="0"/>
                  <w:divBdr>
                    <w:top w:val="none" w:sz="0" w:space="0" w:color="auto"/>
                    <w:left w:val="none" w:sz="0" w:space="0" w:color="auto"/>
                    <w:bottom w:val="none" w:sz="0" w:space="0" w:color="auto"/>
                    <w:right w:val="none" w:sz="0" w:space="0" w:color="auto"/>
                  </w:divBdr>
                  <w:divsChild>
                    <w:div w:id="75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5468">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30459157">
      <w:bodyDiv w:val="1"/>
      <w:marLeft w:val="0"/>
      <w:marRight w:val="0"/>
      <w:marTop w:val="0"/>
      <w:marBottom w:val="0"/>
      <w:divBdr>
        <w:top w:val="none" w:sz="0" w:space="0" w:color="auto"/>
        <w:left w:val="none" w:sz="0" w:space="0" w:color="auto"/>
        <w:bottom w:val="none" w:sz="0" w:space="0" w:color="auto"/>
        <w:right w:val="none" w:sz="0" w:space="0" w:color="auto"/>
      </w:divBdr>
      <w:divsChild>
        <w:div w:id="1978946802">
          <w:marLeft w:val="0"/>
          <w:marRight w:val="0"/>
          <w:marTop w:val="0"/>
          <w:marBottom w:val="0"/>
          <w:divBdr>
            <w:top w:val="none" w:sz="0" w:space="0" w:color="auto"/>
            <w:left w:val="none" w:sz="0" w:space="0" w:color="auto"/>
            <w:bottom w:val="none" w:sz="0" w:space="0" w:color="auto"/>
            <w:right w:val="none" w:sz="0" w:space="0" w:color="auto"/>
          </w:divBdr>
        </w:div>
      </w:divsChild>
    </w:div>
    <w:div w:id="1965303496">
      <w:bodyDiv w:val="1"/>
      <w:marLeft w:val="0"/>
      <w:marRight w:val="0"/>
      <w:marTop w:val="0"/>
      <w:marBottom w:val="0"/>
      <w:divBdr>
        <w:top w:val="none" w:sz="0" w:space="0" w:color="auto"/>
        <w:left w:val="none" w:sz="0" w:space="0" w:color="auto"/>
        <w:bottom w:val="none" w:sz="0" w:space="0" w:color="auto"/>
        <w:right w:val="none" w:sz="0" w:space="0" w:color="auto"/>
      </w:divBdr>
      <w:divsChild>
        <w:div w:id="348333588">
          <w:marLeft w:val="0"/>
          <w:marRight w:val="0"/>
          <w:marTop w:val="0"/>
          <w:marBottom w:val="0"/>
          <w:divBdr>
            <w:top w:val="none" w:sz="0" w:space="0" w:color="auto"/>
            <w:left w:val="none" w:sz="0" w:space="0" w:color="auto"/>
            <w:bottom w:val="none" w:sz="0" w:space="0" w:color="auto"/>
            <w:right w:val="none" w:sz="0" w:space="0" w:color="auto"/>
          </w:divBdr>
          <w:divsChild>
            <w:div w:id="187183218">
              <w:marLeft w:val="0"/>
              <w:marRight w:val="0"/>
              <w:marTop w:val="0"/>
              <w:marBottom w:val="0"/>
              <w:divBdr>
                <w:top w:val="none" w:sz="0" w:space="0" w:color="auto"/>
                <w:left w:val="none" w:sz="0" w:space="0" w:color="auto"/>
                <w:bottom w:val="single" w:sz="6" w:space="0" w:color="CCCCCC"/>
                <w:right w:val="none" w:sz="0" w:space="0" w:color="auto"/>
              </w:divBdr>
              <w:divsChild>
                <w:div w:id="940452747">
                  <w:marLeft w:val="0"/>
                  <w:marRight w:val="0"/>
                  <w:marTop w:val="0"/>
                  <w:marBottom w:val="0"/>
                  <w:divBdr>
                    <w:top w:val="none" w:sz="0" w:space="0" w:color="auto"/>
                    <w:left w:val="none" w:sz="0" w:space="0" w:color="auto"/>
                    <w:bottom w:val="none" w:sz="0" w:space="0" w:color="auto"/>
                    <w:right w:val="none" w:sz="0" w:space="0" w:color="auto"/>
                  </w:divBdr>
                  <w:divsChild>
                    <w:div w:id="1708068798">
                      <w:marLeft w:val="0"/>
                      <w:marRight w:val="0"/>
                      <w:marTop w:val="0"/>
                      <w:marBottom w:val="0"/>
                      <w:divBdr>
                        <w:top w:val="none" w:sz="0" w:space="0" w:color="auto"/>
                        <w:left w:val="none" w:sz="0" w:space="0" w:color="auto"/>
                        <w:bottom w:val="none" w:sz="0" w:space="0" w:color="auto"/>
                        <w:right w:val="none" w:sz="0" w:space="0" w:color="auto"/>
                      </w:divBdr>
                    </w:div>
                    <w:div w:id="2064786701">
                      <w:marLeft w:val="0"/>
                      <w:marRight w:val="0"/>
                      <w:marTop w:val="0"/>
                      <w:marBottom w:val="0"/>
                      <w:divBdr>
                        <w:top w:val="none" w:sz="0" w:space="0" w:color="auto"/>
                        <w:left w:val="none" w:sz="0" w:space="0" w:color="auto"/>
                        <w:bottom w:val="none" w:sz="0" w:space="0" w:color="auto"/>
                        <w:right w:val="none" w:sz="0" w:space="0" w:color="auto"/>
                      </w:divBdr>
                    </w:div>
                    <w:div w:id="157114183">
                      <w:marLeft w:val="0"/>
                      <w:marRight w:val="0"/>
                      <w:marTop w:val="0"/>
                      <w:marBottom w:val="0"/>
                      <w:divBdr>
                        <w:top w:val="none" w:sz="0" w:space="0" w:color="auto"/>
                        <w:left w:val="none" w:sz="0" w:space="0" w:color="auto"/>
                        <w:bottom w:val="none" w:sz="0" w:space="0" w:color="auto"/>
                        <w:right w:val="none" w:sz="0" w:space="0" w:color="auto"/>
                      </w:divBdr>
                    </w:div>
                  </w:divsChild>
                </w:div>
                <w:div w:id="111440637">
                  <w:marLeft w:val="0"/>
                  <w:marRight w:val="0"/>
                  <w:marTop w:val="0"/>
                  <w:marBottom w:val="0"/>
                  <w:divBdr>
                    <w:top w:val="none" w:sz="0" w:space="0" w:color="auto"/>
                    <w:left w:val="none" w:sz="0" w:space="0" w:color="auto"/>
                    <w:bottom w:val="none" w:sz="0" w:space="0" w:color="auto"/>
                    <w:right w:val="none" w:sz="0" w:space="0" w:color="auto"/>
                  </w:divBdr>
                  <w:divsChild>
                    <w:div w:id="43332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92243">
              <w:marLeft w:val="0"/>
              <w:marRight w:val="0"/>
              <w:marTop w:val="0"/>
              <w:marBottom w:val="0"/>
              <w:divBdr>
                <w:top w:val="none" w:sz="0" w:space="0" w:color="auto"/>
                <w:left w:val="none" w:sz="0" w:space="0" w:color="auto"/>
                <w:bottom w:val="none" w:sz="0" w:space="0" w:color="auto"/>
                <w:right w:val="none" w:sz="0" w:space="0" w:color="auto"/>
              </w:divBdr>
              <w:divsChild>
                <w:div w:id="1056662904">
                  <w:marLeft w:val="0"/>
                  <w:marRight w:val="0"/>
                  <w:marTop w:val="0"/>
                  <w:marBottom w:val="0"/>
                  <w:divBdr>
                    <w:top w:val="none" w:sz="0" w:space="0" w:color="auto"/>
                    <w:left w:val="none" w:sz="0" w:space="0" w:color="auto"/>
                    <w:bottom w:val="none" w:sz="0" w:space="0" w:color="auto"/>
                    <w:right w:val="none" w:sz="0" w:space="0" w:color="auto"/>
                  </w:divBdr>
                  <w:divsChild>
                    <w:div w:id="741173205">
                      <w:marLeft w:val="0"/>
                      <w:marRight w:val="0"/>
                      <w:marTop w:val="0"/>
                      <w:marBottom w:val="0"/>
                      <w:divBdr>
                        <w:top w:val="none" w:sz="0" w:space="0" w:color="auto"/>
                        <w:left w:val="none" w:sz="0" w:space="0" w:color="auto"/>
                        <w:bottom w:val="none" w:sz="0" w:space="0" w:color="auto"/>
                        <w:right w:val="none" w:sz="0" w:space="0" w:color="auto"/>
                      </w:divBdr>
                    </w:div>
                    <w:div w:id="2144033163">
                      <w:marLeft w:val="0"/>
                      <w:marRight w:val="0"/>
                      <w:marTop w:val="0"/>
                      <w:marBottom w:val="0"/>
                      <w:divBdr>
                        <w:top w:val="none" w:sz="0" w:space="0" w:color="auto"/>
                        <w:left w:val="none" w:sz="0" w:space="0" w:color="auto"/>
                        <w:bottom w:val="none" w:sz="0" w:space="0" w:color="auto"/>
                        <w:right w:val="none" w:sz="0" w:space="0" w:color="auto"/>
                      </w:divBdr>
                    </w:div>
                  </w:divsChild>
                </w:div>
                <w:div w:id="1467356104">
                  <w:marLeft w:val="0"/>
                  <w:marRight w:val="0"/>
                  <w:marTop w:val="0"/>
                  <w:marBottom w:val="0"/>
                  <w:divBdr>
                    <w:top w:val="none" w:sz="0" w:space="0" w:color="auto"/>
                    <w:left w:val="none" w:sz="0" w:space="0" w:color="auto"/>
                    <w:bottom w:val="none" w:sz="0" w:space="0" w:color="auto"/>
                    <w:right w:val="none" w:sz="0" w:space="0" w:color="auto"/>
                  </w:divBdr>
                  <w:divsChild>
                    <w:div w:id="11318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6043">
              <w:marLeft w:val="0"/>
              <w:marRight w:val="0"/>
              <w:marTop w:val="0"/>
              <w:marBottom w:val="0"/>
              <w:divBdr>
                <w:top w:val="none" w:sz="0" w:space="0" w:color="auto"/>
                <w:left w:val="none" w:sz="0" w:space="0" w:color="auto"/>
                <w:bottom w:val="none" w:sz="0" w:space="0" w:color="auto"/>
                <w:right w:val="none" w:sz="0" w:space="0" w:color="auto"/>
              </w:divBdr>
              <w:divsChild>
                <w:div w:id="44255367">
                  <w:marLeft w:val="79"/>
                  <w:marRight w:val="0"/>
                  <w:marTop w:val="0"/>
                  <w:marBottom w:val="0"/>
                  <w:divBdr>
                    <w:top w:val="none" w:sz="0" w:space="0" w:color="auto"/>
                    <w:left w:val="none" w:sz="0" w:space="0" w:color="auto"/>
                    <w:bottom w:val="none" w:sz="0" w:space="0" w:color="auto"/>
                    <w:right w:val="none" w:sz="0" w:space="0" w:color="auto"/>
                  </w:divBdr>
                </w:div>
              </w:divsChild>
            </w:div>
          </w:divsChild>
        </w:div>
        <w:div w:id="358774185">
          <w:marLeft w:val="0"/>
          <w:marRight w:val="0"/>
          <w:marTop w:val="0"/>
          <w:marBottom w:val="0"/>
          <w:divBdr>
            <w:top w:val="none" w:sz="0" w:space="0" w:color="auto"/>
            <w:left w:val="none" w:sz="0" w:space="0" w:color="auto"/>
            <w:bottom w:val="none" w:sz="0" w:space="0" w:color="auto"/>
            <w:right w:val="none" w:sz="0" w:space="0" w:color="auto"/>
          </w:divBdr>
          <w:divsChild>
            <w:div w:id="703679156">
              <w:marLeft w:val="0"/>
              <w:marRight w:val="0"/>
              <w:marTop w:val="237"/>
              <w:marBottom w:val="0"/>
              <w:divBdr>
                <w:top w:val="none" w:sz="0" w:space="0" w:color="auto"/>
                <w:left w:val="none" w:sz="0" w:space="0" w:color="auto"/>
                <w:bottom w:val="single" w:sz="6" w:space="0" w:color="99CCFF"/>
                <w:right w:val="none" w:sz="0" w:space="0" w:color="auto"/>
              </w:divBdr>
              <w:divsChild>
                <w:div w:id="417943282">
                  <w:marLeft w:val="0"/>
                  <w:marRight w:val="0"/>
                  <w:marTop w:val="0"/>
                  <w:marBottom w:val="0"/>
                  <w:divBdr>
                    <w:top w:val="none" w:sz="0" w:space="0" w:color="auto"/>
                    <w:left w:val="none" w:sz="0" w:space="0" w:color="auto"/>
                    <w:bottom w:val="none" w:sz="0" w:space="0" w:color="auto"/>
                    <w:right w:val="none" w:sz="0" w:space="0" w:color="auto"/>
                  </w:divBdr>
                  <w:divsChild>
                    <w:div w:id="1543859279">
                      <w:marLeft w:val="0"/>
                      <w:marRight w:val="0"/>
                      <w:marTop w:val="0"/>
                      <w:marBottom w:val="0"/>
                      <w:divBdr>
                        <w:top w:val="none" w:sz="0" w:space="0" w:color="auto"/>
                        <w:left w:val="none" w:sz="0" w:space="0" w:color="auto"/>
                        <w:bottom w:val="none" w:sz="0" w:space="0" w:color="auto"/>
                        <w:right w:val="none" w:sz="0" w:space="0" w:color="auto"/>
                      </w:divBdr>
                    </w:div>
                    <w:div w:id="839351539">
                      <w:marLeft w:val="0"/>
                      <w:marRight w:val="0"/>
                      <w:marTop w:val="0"/>
                      <w:marBottom w:val="0"/>
                      <w:divBdr>
                        <w:top w:val="none" w:sz="0" w:space="0" w:color="auto"/>
                        <w:left w:val="none" w:sz="0" w:space="0" w:color="auto"/>
                        <w:bottom w:val="none" w:sz="0" w:space="0" w:color="auto"/>
                        <w:right w:val="none" w:sz="0" w:space="0" w:color="auto"/>
                      </w:divBdr>
                    </w:div>
                  </w:divsChild>
                </w:div>
                <w:div w:id="189536879">
                  <w:marLeft w:val="0"/>
                  <w:marRight w:val="0"/>
                  <w:marTop w:val="0"/>
                  <w:marBottom w:val="0"/>
                  <w:divBdr>
                    <w:top w:val="none" w:sz="0" w:space="0" w:color="auto"/>
                    <w:left w:val="none" w:sz="0" w:space="0" w:color="auto"/>
                    <w:bottom w:val="none" w:sz="0" w:space="0" w:color="auto"/>
                    <w:right w:val="none" w:sz="0" w:space="0" w:color="auto"/>
                  </w:divBdr>
                  <w:divsChild>
                    <w:div w:id="108514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14506">
              <w:marLeft w:val="0"/>
              <w:marRight w:val="0"/>
              <w:marTop w:val="0"/>
              <w:marBottom w:val="0"/>
              <w:divBdr>
                <w:top w:val="none" w:sz="0" w:space="4" w:color="auto"/>
                <w:left w:val="single" w:sz="6" w:space="4" w:color="99CCFF"/>
                <w:bottom w:val="single" w:sz="6" w:space="4" w:color="99CCFF"/>
                <w:right w:val="single" w:sz="6" w:space="4" w:color="99CCFF"/>
              </w:divBdr>
            </w:div>
          </w:divsChild>
        </w:div>
      </w:divsChild>
    </w:div>
    <w:div w:id="1972713817">
      <w:bodyDiv w:val="1"/>
      <w:marLeft w:val="0"/>
      <w:marRight w:val="0"/>
      <w:marTop w:val="0"/>
      <w:marBottom w:val="0"/>
      <w:divBdr>
        <w:top w:val="none" w:sz="0" w:space="0" w:color="auto"/>
        <w:left w:val="none" w:sz="0" w:space="0" w:color="auto"/>
        <w:bottom w:val="none" w:sz="0" w:space="0" w:color="auto"/>
        <w:right w:val="none" w:sz="0" w:space="0" w:color="auto"/>
      </w:divBdr>
    </w:div>
    <w:div w:id="2011790498">
      <w:bodyDiv w:val="1"/>
      <w:marLeft w:val="0"/>
      <w:marRight w:val="0"/>
      <w:marTop w:val="0"/>
      <w:marBottom w:val="0"/>
      <w:divBdr>
        <w:top w:val="none" w:sz="0" w:space="0" w:color="auto"/>
        <w:left w:val="none" w:sz="0" w:space="0" w:color="auto"/>
        <w:bottom w:val="none" w:sz="0" w:space="0" w:color="auto"/>
        <w:right w:val="none" w:sz="0" w:space="0" w:color="auto"/>
      </w:divBdr>
      <w:divsChild>
        <w:div w:id="1937206146">
          <w:marLeft w:val="0"/>
          <w:marRight w:val="0"/>
          <w:marTop w:val="0"/>
          <w:marBottom w:val="0"/>
          <w:divBdr>
            <w:top w:val="none" w:sz="0" w:space="0" w:color="auto"/>
            <w:left w:val="none" w:sz="0" w:space="0" w:color="auto"/>
            <w:bottom w:val="none" w:sz="0" w:space="0" w:color="auto"/>
            <w:right w:val="none" w:sz="0" w:space="0" w:color="auto"/>
          </w:divBdr>
          <w:divsChild>
            <w:div w:id="1917278711">
              <w:marLeft w:val="0"/>
              <w:marRight w:val="0"/>
              <w:marTop w:val="0"/>
              <w:marBottom w:val="0"/>
              <w:divBdr>
                <w:top w:val="none" w:sz="0" w:space="0" w:color="auto"/>
                <w:left w:val="none" w:sz="0" w:space="0" w:color="auto"/>
                <w:bottom w:val="none" w:sz="0" w:space="0" w:color="auto"/>
                <w:right w:val="none" w:sz="0" w:space="0" w:color="auto"/>
              </w:divBdr>
              <w:divsChild>
                <w:div w:id="1465077328">
                  <w:marLeft w:val="0"/>
                  <w:marRight w:val="0"/>
                  <w:marTop w:val="0"/>
                  <w:marBottom w:val="0"/>
                  <w:divBdr>
                    <w:top w:val="none" w:sz="0" w:space="0" w:color="auto"/>
                    <w:left w:val="none" w:sz="0" w:space="0" w:color="auto"/>
                    <w:bottom w:val="none" w:sz="0" w:space="0" w:color="auto"/>
                    <w:right w:val="none" w:sz="0" w:space="0" w:color="auto"/>
                  </w:divBdr>
                  <w:divsChild>
                    <w:div w:id="1152018865">
                      <w:marLeft w:val="0"/>
                      <w:marRight w:val="0"/>
                      <w:marTop w:val="0"/>
                      <w:marBottom w:val="340"/>
                      <w:divBdr>
                        <w:top w:val="none" w:sz="0" w:space="0" w:color="auto"/>
                        <w:left w:val="none" w:sz="0" w:space="0" w:color="auto"/>
                        <w:bottom w:val="none" w:sz="0" w:space="0" w:color="auto"/>
                        <w:right w:val="none" w:sz="0" w:space="0" w:color="auto"/>
                      </w:divBdr>
                      <w:divsChild>
                        <w:div w:id="8984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47363156">
      <w:bodyDiv w:val="1"/>
      <w:marLeft w:val="0"/>
      <w:marRight w:val="0"/>
      <w:marTop w:val="0"/>
      <w:marBottom w:val="0"/>
      <w:divBdr>
        <w:top w:val="none" w:sz="0" w:space="0" w:color="auto"/>
        <w:left w:val="none" w:sz="0" w:space="0" w:color="auto"/>
        <w:bottom w:val="none" w:sz="0" w:space="0" w:color="auto"/>
        <w:right w:val="none" w:sz="0" w:space="0" w:color="auto"/>
      </w:divBdr>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62825403">
      <w:bodyDiv w:val="1"/>
      <w:marLeft w:val="0"/>
      <w:marRight w:val="0"/>
      <w:marTop w:val="0"/>
      <w:marBottom w:val="0"/>
      <w:divBdr>
        <w:top w:val="none" w:sz="0" w:space="0" w:color="auto"/>
        <w:left w:val="none" w:sz="0" w:space="0" w:color="auto"/>
        <w:bottom w:val="none" w:sz="0" w:space="0" w:color="auto"/>
        <w:right w:val="none" w:sz="0" w:space="0" w:color="auto"/>
      </w:divBdr>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 w:id="2118602405">
      <w:bodyDiv w:val="1"/>
      <w:marLeft w:val="0"/>
      <w:marRight w:val="0"/>
      <w:marTop w:val="0"/>
      <w:marBottom w:val="0"/>
      <w:divBdr>
        <w:top w:val="none" w:sz="0" w:space="0" w:color="auto"/>
        <w:left w:val="none" w:sz="0" w:space="0" w:color="auto"/>
        <w:bottom w:val="none" w:sz="0" w:space="0" w:color="auto"/>
        <w:right w:val="none" w:sz="0" w:space="0" w:color="auto"/>
      </w:divBdr>
      <w:divsChild>
        <w:div w:id="1874422448">
          <w:marLeft w:val="0"/>
          <w:marRight w:val="0"/>
          <w:marTop w:val="0"/>
          <w:marBottom w:val="0"/>
          <w:divBdr>
            <w:top w:val="none" w:sz="0" w:space="0" w:color="auto"/>
            <w:left w:val="none" w:sz="0" w:space="0" w:color="auto"/>
            <w:bottom w:val="none" w:sz="0" w:space="0" w:color="auto"/>
            <w:right w:val="none" w:sz="0" w:space="0" w:color="auto"/>
          </w:divBdr>
        </w:div>
      </w:divsChild>
    </w:div>
    <w:div w:id="212338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pag.org.uk/policy-and-research/latest-policy-briefings-and-reports/david-webster-briefings" TargetMode="External"/><Relationship Id="rId18" Type="http://schemas.openxmlformats.org/officeDocument/2006/relationships/hyperlink" Target="https://cpag.org.uk/policy-and-research/latest-policy-briefings-and-reports/david-webster-briefings" TargetMode="External"/><Relationship Id="rId26" Type="http://schemas.openxmlformats.org/officeDocument/2006/relationships/hyperlink" Target="https://www.gov.uk/government/collections/jobseekers-allowance-sanctions" TargetMode="External"/><Relationship Id="rId39" Type="http://schemas.openxmlformats.org/officeDocument/2006/relationships/hyperlink" Target="https://mypcs.my.salesforce.com/sfc/p/" TargetMode="External"/><Relationship Id="rId21" Type="http://schemas.openxmlformats.org/officeDocument/2006/relationships/hyperlink" Target="https://www.theyworkforyou.com/wrans/?id=2024-01-17.HL1702.h&amp;s=universal+credit+sanction" TargetMode="External"/><Relationship Id="rId34" Type="http://schemas.openxmlformats.org/officeDocument/2006/relationships/hyperlink" Target="https://www.health.org.uk/publications/long-reads/what-we-know-about-the-uk-s-working-age-health-challenge" TargetMode="External"/><Relationship Id="rId42" Type="http://schemas.openxmlformats.org/officeDocument/2006/relationships/image" Target="media/image1.jpeg"/><Relationship Id="rId47" Type="http://schemas.openxmlformats.org/officeDocument/2006/relationships/image" Target="media/image6.jpeg"/><Relationship Id="rId50" Type="http://schemas.openxmlformats.org/officeDocument/2006/relationships/image" Target="media/image9.jpeg"/><Relationship Id="rId55"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hyperlink" Target="https://stat-xplore.dwp.gov.uk/webapi/jsf/login.xhtml" TargetMode="External"/><Relationship Id="rId17" Type="http://schemas.openxmlformats.org/officeDocument/2006/relationships/hyperlink" Target="https://www.gov.uk/government/publications/sanctioned-disengaged-claimants-april-2019-to-august-2023" TargetMode="External"/><Relationship Id="rId25" Type="http://schemas.openxmlformats.org/officeDocument/2006/relationships/hyperlink" Target="https://www.gov.uk/government/collections/universal-credit-statistics" TargetMode="External"/><Relationship Id="rId33" Type="http://schemas.openxmlformats.org/officeDocument/2006/relationships/hyperlink" Target="https://www.gov.uk/government/publications/estimating-the-employment-impact-of-universal-credit-among-single-parents" TargetMode="External"/><Relationship Id="rId38" Type="http://schemas.openxmlformats.org/officeDocument/2006/relationships/hyperlink" Target="https://www.jrf.org.uk/uk-poverty-2024-the-essential-guide-to-understanding-poverty-in-the-uk" TargetMode="External"/><Relationship Id="rId46"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www.gov.uk/government/publications/benefit-sanctions-durations-and-sanction-rate-calculation-explanation-of-methodology" TargetMode="External"/><Relationship Id="rId20" Type="http://schemas.openxmlformats.org/officeDocument/2006/relationships/hyperlink" Target="https://www.theyworkforyou.com/wrans/?id=2024-01-09.8649.h&amp;s=universal+credit+sanction" TargetMode="External"/><Relationship Id="rId29" Type="http://schemas.openxmlformats.org/officeDocument/2006/relationships/hyperlink" Target="https://www.pcs.org.uk/news-events/news/pcs-calls-urgent-meeting-dwp-over-staffing-crisis" TargetMode="External"/><Relationship Id="rId41" Type="http://schemas.openxmlformats.org/officeDocument/2006/relationships/header" Target="header1.xml"/><Relationship Id="rId54"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collections/jobseekers-allowance-sanctions" TargetMode="External"/><Relationship Id="rId24" Type="http://schemas.openxmlformats.org/officeDocument/2006/relationships/hyperlink" Target="https://www.gov.uk/government/collections/universal-credit-statistics" TargetMode="External"/><Relationship Id="rId32" Type="http://schemas.openxmlformats.org/officeDocument/2006/relationships/hyperlink" Target="https://www.eventbrite.co.uk/e/from-work-first-to-good-work-supporting-people-into-good-jobs-tickets-802862341877" TargetMode="External"/><Relationship Id="rId37" Type="http://schemas.openxmlformats.org/officeDocument/2006/relationships/hyperlink" Target="https://journals.sagepub.com/doi/10.1177/09500170231219677" TargetMode="External"/><Relationship Id="rId40" Type="http://schemas.openxmlformats.org/officeDocument/2006/relationships/hyperlink" Target="https://www.politicshome.com/thehouse/article/forcing-unready-people-illsuited-work-answer" TargetMode="External"/><Relationship Id="rId45" Type="http://schemas.openxmlformats.org/officeDocument/2006/relationships/image" Target="media/image4.jpeg"/><Relationship Id="rId53"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hyperlink" Target="https://www.gov.uk/government/publications/universal-credit-sanctions-statistics-background-information-and-methodology/a" TargetMode="External"/><Relationship Id="rId23" Type="http://schemas.openxmlformats.org/officeDocument/2006/relationships/hyperlink" Target="https://en.wikipedia.org/wiki/Universal_Credit" TargetMode="External"/><Relationship Id="rId28" Type="http://schemas.openxmlformats.org/officeDocument/2006/relationships/hyperlink" Target="https://www.mypcs.pcs.org.uk/s/article/DWP-boss-receives-devastating-dossier-staff-and-services-at-breaking-point" TargetMode="External"/><Relationship Id="rId36" Type="http://schemas.openxmlformats.org/officeDocument/2006/relationships/hyperlink" Target="https://eur03.safelinks.protection.outlook.com/?url=https%3A%2F%2Fdoi.org%2F10.1177%2F09500170231219677&amp;data=05%7C02%7CDavid.Webster%40glasgow.ac.uk%7Cb5a8dbb041c04e32bc3d08dc18dd166d%7C6e725c29763a4f5081f22e254f0133c8%7C1%7C0%7C638412585039552662%7CUnknown%7CTWFpbGZsb3d8eyJWIjoiMC4wLjAwMDAiLCJQIjoiV2luMzIiLCJBTiI6Ik1haWwiLCJXVCI6Mn0%3D%7C3000%7C%7C%7C&amp;sdata=DfJAAU50C2%2FhgLTZldWwKlSIJ2zF5rbq6f7d2P%2BdNO4%3D&amp;reserved=0" TargetMode="External"/><Relationship Id="rId49" Type="http://schemas.openxmlformats.org/officeDocument/2006/relationships/image" Target="media/image8.jpeg"/><Relationship Id="rId57" Type="http://schemas.openxmlformats.org/officeDocument/2006/relationships/theme" Target="theme/theme1.xml"/><Relationship Id="rId10" Type="http://schemas.openxmlformats.org/officeDocument/2006/relationships/hyperlink" Target="https://cpag.org.uk/policy-and-research/latest-policy-briefings-and-reports/david-webster-briefings" TargetMode="External"/><Relationship Id="rId19" Type="http://schemas.openxmlformats.org/officeDocument/2006/relationships/hyperlink" Target="https://www.gov.uk/government/publications/benefit-sanctions-durations-and-sanction-rate-calculation-explanation-of-methodology" TargetMode="External"/><Relationship Id="rId31" Type="http://schemas.openxmlformats.org/officeDocument/2006/relationships/hyperlink" Target="https://www.health.org.uk/publications/long-reads/what-we-know-about-the-uk-s-working-age-health-challenge" TargetMode="External"/><Relationship Id="rId44" Type="http://schemas.openxmlformats.org/officeDocument/2006/relationships/image" Target="media/image3.jpeg"/><Relationship Id="rId52"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www.cpag.org.uk/david-webster" TargetMode="External"/><Relationship Id="rId22" Type="http://schemas.openxmlformats.org/officeDocument/2006/relationships/hyperlink" Target="https://en.wikipedia.org/wiki/UC" TargetMode="External"/><Relationship Id="rId27" Type="http://schemas.openxmlformats.org/officeDocument/2006/relationships/hyperlink" Target="https://www.gov.uk/government/collections/jobseekers-allowance-sanctions" TargetMode="External"/><Relationship Id="rId30" Type="http://schemas.openxmlformats.org/officeDocument/2006/relationships/hyperlink" Target="https://www.pcs.org.uk/news-events/news/dwp-staffing-crisis-meeting-hears-pain-understaffing" TargetMode="External"/><Relationship Id="rId35" Type="http://schemas.openxmlformats.org/officeDocument/2006/relationships/hyperlink" Target="https://www.gov.uk/government/organisations/hm-treasury" TargetMode="External"/><Relationship Id="rId43" Type="http://schemas.openxmlformats.org/officeDocument/2006/relationships/image" Target="media/image2.jpeg"/><Relationship Id="rId48" Type="http://schemas.openxmlformats.org/officeDocument/2006/relationships/image" Target="media/image7.jpeg"/><Relationship Id="rId56" Type="http://schemas.openxmlformats.org/officeDocument/2006/relationships/fontTable" Target="fontTable.xml"/><Relationship Id="rId8" Type="http://schemas.openxmlformats.org/officeDocument/2006/relationships/hyperlink" Target="mailto:david.webster@glasgow.ac.uk" TargetMode="External"/><Relationship Id="rId51" Type="http://schemas.openxmlformats.org/officeDocument/2006/relationships/image" Target="media/image10.jpeg"/><Relationship Id="rId3" Type="http://schemas.openxmlformats.org/officeDocument/2006/relationships/styles" Target="styles.xml"/></Relationships>
</file>

<file path=word/_rels/endnotes.xml.rels><?xml version="1.0" encoding="UTF-8" standalone="yes"?>
<Relationships xmlns="http://schemas.openxmlformats.org/package/2006/relationships"><Relationship Id="rId1" Type="http://schemas.openxmlformats.org/officeDocument/2006/relationships/hyperlink" Target="https://www.gov.uk/government/collections/move-to-universal-credit-statis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14024F-FC30-471B-9E78-837CB71A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118602</TotalTime>
  <Pages>30</Pages>
  <Words>6192</Words>
  <Characters>35299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WebsterDavid</cp:lastModifiedBy>
  <cp:revision>4490</cp:revision>
  <cp:lastPrinted>2024-02-22T13:08:00Z</cp:lastPrinted>
  <dcterms:created xsi:type="dcterms:W3CDTF">2014-02-05T20:42:00Z</dcterms:created>
  <dcterms:modified xsi:type="dcterms:W3CDTF">2024-02-22T13:51:00Z</dcterms:modified>
</cp:coreProperties>
</file>